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09239" w14:textId="77777777" w:rsidR="000B724C" w:rsidRDefault="000B724C" w:rsidP="00284F57">
      <w:pPr>
        <w:rPr>
          <w:rStyle w:val="IOPTitleChar"/>
          <w:lang w:val="es-ES"/>
        </w:rPr>
      </w:pPr>
      <w:r w:rsidRPr="000B724C">
        <w:rPr>
          <w:rStyle w:val="IOPTitleChar"/>
          <w:lang w:val="es-ES"/>
        </w:rPr>
        <w:t>Casos de cuadro febril y casos de dengue identificados en dos hospitales de Tapachula, Chiapas México, agosto 2024</w:t>
      </w:r>
    </w:p>
    <w:p w14:paraId="7D45BF11" w14:textId="0FF63D01" w:rsidR="004D2E4E" w:rsidRPr="00E7687B" w:rsidRDefault="00352DA0" w:rsidP="00256920">
      <w:pPr>
        <w:pStyle w:val="IOPKwd"/>
        <w:ind w:right="27"/>
        <w:jc w:val="both"/>
        <w:rPr>
          <w:lang w:val="es-ES"/>
        </w:rPr>
      </w:pPr>
      <w:r w:rsidRPr="00352DA0">
        <w:rPr>
          <w:b/>
          <w:bCs/>
          <w:lang w:val="es-ES"/>
        </w:rPr>
        <w:t>Cita sugerida</w:t>
      </w:r>
      <w:r w:rsidR="009C5F5E" w:rsidRPr="00352DA0">
        <w:rPr>
          <w:b/>
          <w:bCs/>
          <w:lang w:val="es-ES"/>
        </w:rPr>
        <w:t>:</w:t>
      </w:r>
      <w:r w:rsidR="009C5F5E" w:rsidRPr="00352DA0">
        <w:rPr>
          <w:lang w:val="es-ES"/>
        </w:rPr>
        <w:t xml:space="preserve"> </w:t>
      </w:r>
      <w:bookmarkStart w:id="0" w:name="_Hlk167697362"/>
      <w:r w:rsidR="007A00B5">
        <w:rPr>
          <w:lang w:val="es-ES"/>
        </w:rPr>
        <w:t xml:space="preserve">Barajas </w:t>
      </w:r>
      <w:r w:rsidR="00BC4FD2">
        <w:rPr>
          <w:lang w:val="es-ES"/>
        </w:rPr>
        <w:t xml:space="preserve">Chávez </w:t>
      </w:r>
      <w:r w:rsidR="00BC4FD2" w:rsidRPr="00BC4FD2">
        <w:rPr>
          <w:lang w:val="es-ES"/>
        </w:rPr>
        <w:t>ED</w:t>
      </w:r>
      <w:r w:rsidR="00BC4FD2">
        <w:rPr>
          <w:lang w:val="es-ES"/>
        </w:rPr>
        <w:t xml:space="preserve">, </w:t>
      </w:r>
      <w:r w:rsidR="00BC4FD2" w:rsidRPr="00BC4FD2">
        <w:rPr>
          <w:lang w:val="es-ES"/>
        </w:rPr>
        <w:t xml:space="preserve">Reyes Garduño </w:t>
      </w:r>
      <w:r w:rsidR="00BC4FD2">
        <w:rPr>
          <w:lang w:val="es-ES"/>
        </w:rPr>
        <w:t>JC</w:t>
      </w:r>
      <w:r w:rsidR="00BC4FD2" w:rsidRPr="001110F7">
        <w:rPr>
          <w:lang w:val="es-ES"/>
        </w:rPr>
        <w:t>, Caballero S</w:t>
      </w:r>
      <w:r w:rsidR="001110F7" w:rsidRPr="001110F7">
        <w:rPr>
          <w:lang w:val="es-ES"/>
        </w:rPr>
        <w:t>,</w:t>
      </w:r>
      <w:r w:rsidR="00BC4FD2" w:rsidRPr="001110F7">
        <w:rPr>
          <w:lang w:val="es-ES"/>
        </w:rPr>
        <w:t xml:space="preserve"> Ramos Vázquez</w:t>
      </w:r>
      <w:r w:rsidR="001110F7" w:rsidRPr="001110F7">
        <w:rPr>
          <w:lang w:val="es-ES"/>
        </w:rPr>
        <w:t xml:space="preserve"> MH</w:t>
      </w:r>
      <w:r w:rsidR="00BC4FD2" w:rsidRPr="001110F7">
        <w:rPr>
          <w:lang w:val="es-ES"/>
        </w:rPr>
        <w:t>, Romero Moreno</w:t>
      </w:r>
      <w:r w:rsidR="001110F7">
        <w:rPr>
          <w:lang w:val="es-ES"/>
        </w:rPr>
        <w:t xml:space="preserve"> D</w:t>
      </w:r>
      <w:r w:rsidR="00E7687B">
        <w:rPr>
          <w:lang w:val="es-ES"/>
        </w:rPr>
        <w:t>K</w:t>
      </w:r>
      <w:r w:rsidR="00BC4FD2" w:rsidRPr="001110F7">
        <w:rPr>
          <w:lang w:val="es-ES"/>
        </w:rPr>
        <w:t>,</w:t>
      </w:r>
      <w:r w:rsidR="00BC4FD2" w:rsidRPr="001110F7">
        <w:rPr>
          <w:lang w:val="es-MX"/>
        </w:rPr>
        <w:t xml:space="preserve"> Maza López</w:t>
      </w:r>
      <w:r w:rsidR="00A44F3B">
        <w:rPr>
          <w:lang w:val="es-MX"/>
        </w:rPr>
        <w:t xml:space="preserve"> R. </w:t>
      </w:r>
      <w:r w:rsidR="00A44F3B" w:rsidRPr="00A44F3B">
        <w:rPr>
          <w:lang w:val="es-ES"/>
        </w:rPr>
        <w:t>Casos de cuadro febril y casos de dengue identificados en dos hospitales de Tapachula, Chiapas México, agosto 2024</w:t>
      </w:r>
      <w:r w:rsidR="009C5F5E" w:rsidRPr="00352DA0">
        <w:rPr>
          <w:lang w:val="es-ES"/>
        </w:rPr>
        <w:t xml:space="preserve">. </w:t>
      </w:r>
      <w:r w:rsidR="009C5F5E" w:rsidRPr="00E7687B">
        <w:rPr>
          <w:i/>
          <w:iCs/>
          <w:lang w:val="es-ES"/>
        </w:rPr>
        <w:t xml:space="preserve">Am J Field </w:t>
      </w:r>
      <w:proofErr w:type="spellStart"/>
      <w:r w:rsidR="009C5F5E" w:rsidRPr="00E7687B">
        <w:rPr>
          <w:i/>
          <w:iCs/>
          <w:lang w:val="es-ES"/>
        </w:rPr>
        <w:t>Epidemiol</w:t>
      </w:r>
      <w:proofErr w:type="spellEnd"/>
      <w:r w:rsidR="009C5F5E" w:rsidRPr="00E7687B">
        <w:rPr>
          <w:lang w:val="es-ES"/>
        </w:rPr>
        <w:t xml:space="preserve"> 202</w:t>
      </w:r>
      <w:r w:rsidR="001B3D0C" w:rsidRPr="00E7687B">
        <w:rPr>
          <w:lang w:val="es-ES"/>
        </w:rPr>
        <w:t>4</w:t>
      </w:r>
      <w:r w:rsidR="009C5F5E" w:rsidRPr="00E7687B">
        <w:rPr>
          <w:lang w:val="es-ES"/>
        </w:rPr>
        <w:t xml:space="preserve">; </w:t>
      </w:r>
      <w:r w:rsidR="00A44F3B" w:rsidRPr="00E7687B">
        <w:rPr>
          <w:lang w:val="es-ES"/>
        </w:rPr>
        <w:t>2</w:t>
      </w:r>
      <w:r w:rsidR="009C5F5E" w:rsidRPr="00E7687B">
        <w:rPr>
          <w:lang w:val="es-ES"/>
        </w:rPr>
        <w:t xml:space="preserve"> (</w:t>
      </w:r>
      <w:r w:rsidR="00A44F3B" w:rsidRPr="00E7687B">
        <w:rPr>
          <w:lang w:val="es-ES"/>
        </w:rPr>
        <w:t>2</w:t>
      </w:r>
      <w:r w:rsidR="009C5F5E" w:rsidRPr="00E7687B">
        <w:rPr>
          <w:lang w:val="es-ES"/>
        </w:rPr>
        <w:t xml:space="preserve">):  </w:t>
      </w:r>
      <w:r w:rsidR="001B3D0C" w:rsidRPr="00E7687B">
        <w:rPr>
          <w:lang w:val="es-ES"/>
        </w:rPr>
        <w:t>1</w:t>
      </w:r>
      <w:r w:rsidR="009C5F5E" w:rsidRPr="00E7687B">
        <w:rPr>
          <w:lang w:val="es-ES"/>
        </w:rPr>
        <w:t>-</w:t>
      </w:r>
      <w:bookmarkEnd w:id="0"/>
      <w:r w:rsidR="00701417" w:rsidRPr="00E7687B">
        <w:rPr>
          <w:lang w:val="es-ES"/>
        </w:rPr>
        <w:t>9</w:t>
      </w:r>
      <w:r w:rsidR="00BC2360" w:rsidRPr="00E7687B">
        <w:rPr>
          <w:lang w:val="es-ES"/>
        </w:rPr>
        <w:t>.</w:t>
      </w:r>
      <w:r w:rsidR="00701417" w:rsidRPr="00E7687B">
        <w:rPr>
          <w:lang w:val="es-ES"/>
        </w:rPr>
        <w:t xml:space="preserve"> </w:t>
      </w:r>
      <w:proofErr w:type="spellStart"/>
      <w:r w:rsidR="00701417" w:rsidRPr="00E7687B">
        <w:rPr>
          <w:lang w:val="es-ES"/>
        </w:rPr>
        <w:t>doi</w:t>
      </w:r>
      <w:proofErr w:type="spellEnd"/>
      <w:r w:rsidR="00701417" w:rsidRPr="00E7687B">
        <w:rPr>
          <w:lang w:val="es-ES"/>
        </w:rPr>
        <w:t>:</w:t>
      </w:r>
      <w:r w:rsidR="00716B77" w:rsidRPr="00716B77">
        <w:t xml:space="preserve"> </w:t>
      </w:r>
      <w:r w:rsidR="00716B77" w:rsidRPr="00716B77">
        <w:rPr>
          <w:lang w:val="es-ES"/>
        </w:rPr>
        <w:t>10.59273/</w:t>
      </w:r>
      <w:proofErr w:type="gramStart"/>
      <w:r w:rsidR="00716B77" w:rsidRPr="00716B77">
        <w:rPr>
          <w:lang w:val="es-ES"/>
        </w:rPr>
        <w:t>ajfe.v</w:t>
      </w:r>
      <w:proofErr w:type="gramEnd"/>
      <w:r w:rsidR="00716B77" w:rsidRPr="00716B77">
        <w:rPr>
          <w:lang w:val="es-ES"/>
        </w:rPr>
        <w:t>2i2.10833</w:t>
      </w:r>
      <w:r w:rsidR="00BC2360" w:rsidRPr="00E7687B">
        <w:rPr>
          <w:lang w:val="es-ES"/>
        </w:rPr>
        <w:t xml:space="preserve"> </w:t>
      </w:r>
    </w:p>
    <w:p w14:paraId="275AD190" w14:textId="2B7331AF" w:rsidR="000F6FBA" w:rsidRPr="00E7687B" w:rsidRDefault="000F6FBA" w:rsidP="00BC2360">
      <w:pPr>
        <w:pStyle w:val="IOPKwd"/>
        <w:ind w:right="27"/>
        <w:rPr>
          <w:lang w:val="es-ES"/>
        </w:rPr>
        <w:sectPr w:rsidR="000F6FBA" w:rsidRPr="00E7687B" w:rsidSect="00701417">
          <w:headerReference w:type="default" r:id="rId11"/>
          <w:footerReference w:type="default" r:id="rId12"/>
          <w:headerReference w:type="first" r:id="rId13"/>
          <w:footerReference w:type="first" r:id="rId14"/>
          <w:pgSz w:w="11906" w:h="16838"/>
          <w:pgMar w:top="2098" w:right="907" w:bottom="1474" w:left="907" w:header="709" w:footer="709" w:gutter="0"/>
          <w:cols w:space="708"/>
          <w:docGrid w:linePitch="360"/>
        </w:sectPr>
      </w:pPr>
    </w:p>
    <w:p w14:paraId="0CC9B8AF" w14:textId="42DFBBDE" w:rsidR="00341F37" w:rsidRPr="00341F37" w:rsidRDefault="00341F37" w:rsidP="00341F37">
      <w:pPr>
        <w:pStyle w:val="IOPText"/>
        <w:ind w:firstLine="284"/>
        <w:rPr>
          <w:rFonts w:cs="Times New Roman"/>
          <w:bCs/>
          <w:szCs w:val="20"/>
          <w:lang w:val="es-ES"/>
        </w:rPr>
      </w:pPr>
      <w:r w:rsidRPr="00341F37">
        <w:rPr>
          <w:rFonts w:cs="Times New Roman"/>
          <w:bCs/>
          <w:szCs w:val="20"/>
          <w:lang w:val="es-ES"/>
        </w:rPr>
        <w:t>Comparado con las mismas fechas del 2023, hacia la semana que termin</w:t>
      </w:r>
      <w:r w:rsidR="00160E54">
        <w:rPr>
          <w:rFonts w:cs="Times New Roman"/>
          <w:bCs/>
          <w:szCs w:val="20"/>
          <w:lang w:val="es-ES"/>
        </w:rPr>
        <w:t>ó</w:t>
      </w:r>
      <w:r w:rsidRPr="00341F37">
        <w:rPr>
          <w:rFonts w:cs="Times New Roman"/>
          <w:bCs/>
          <w:szCs w:val="20"/>
          <w:lang w:val="es-ES"/>
        </w:rPr>
        <w:t xml:space="preserve"> el 7 de septiembre del 2024 en México se </w:t>
      </w:r>
      <w:r w:rsidR="00160E54">
        <w:rPr>
          <w:rFonts w:cs="Times New Roman"/>
          <w:bCs/>
          <w:szCs w:val="20"/>
          <w:lang w:val="es-ES"/>
        </w:rPr>
        <w:t>observó</w:t>
      </w:r>
      <w:r w:rsidRPr="00341F37">
        <w:rPr>
          <w:rFonts w:cs="Times New Roman"/>
          <w:bCs/>
          <w:szCs w:val="20"/>
          <w:lang w:val="es-ES"/>
        </w:rPr>
        <w:t xml:space="preserve"> un aumento en los casos notificados como probable dengue</w:t>
      </w:r>
      <w:r w:rsidR="00BD3ED8">
        <w:rPr>
          <w:rFonts w:cs="Times New Roman"/>
          <w:bCs/>
          <w:szCs w:val="20"/>
          <w:lang w:val="es-ES"/>
        </w:rPr>
        <w:t>,</w:t>
      </w:r>
      <w:r w:rsidRPr="00341F37">
        <w:rPr>
          <w:rFonts w:cs="Times New Roman"/>
          <w:bCs/>
          <w:szCs w:val="20"/>
          <w:lang w:val="es-ES"/>
        </w:rPr>
        <w:t xml:space="preserve"> el 20.3% de ellos fueron confirmados por laboratorio. Entre las entidades con el mayor número de casos confirmados por cien mil habitantes, Chiapas ocup</w:t>
      </w:r>
      <w:r w:rsidR="00773E97">
        <w:rPr>
          <w:rFonts w:cs="Times New Roman"/>
          <w:bCs/>
          <w:szCs w:val="20"/>
          <w:lang w:val="es-ES"/>
        </w:rPr>
        <w:t>ó</w:t>
      </w:r>
      <w:r w:rsidRPr="00341F37">
        <w:rPr>
          <w:rFonts w:cs="Times New Roman"/>
          <w:bCs/>
          <w:szCs w:val="20"/>
          <w:lang w:val="es-ES"/>
        </w:rPr>
        <w:t xml:space="preserve"> el 11º lugar, con una tasa de incidencia notificada de 51.9 por cien mil. Sin embargo, est</w:t>
      </w:r>
      <w:r w:rsidR="006B0618">
        <w:rPr>
          <w:rFonts w:cs="Times New Roman"/>
          <w:bCs/>
          <w:szCs w:val="20"/>
          <w:lang w:val="es-ES"/>
        </w:rPr>
        <w:t>aba</w:t>
      </w:r>
      <w:r w:rsidRPr="00341F37">
        <w:rPr>
          <w:rFonts w:cs="Times New Roman"/>
          <w:bCs/>
          <w:szCs w:val="20"/>
          <w:lang w:val="es-ES"/>
        </w:rPr>
        <w:t xml:space="preserve"> entre los tres estados con el mayor número de casos con dengue con signos de alarma (DCSA) y dengue grave (DG). </w:t>
      </w:r>
    </w:p>
    <w:p w14:paraId="31BED05E" w14:textId="68791CEF" w:rsidR="00341F37" w:rsidRPr="00341F37" w:rsidRDefault="00341F37" w:rsidP="00341F37">
      <w:pPr>
        <w:pStyle w:val="IOPText"/>
        <w:ind w:firstLine="284"/>
        <w:rPr>
          <w:rFonts w:cs="Times New Roman"/>
          <w:bCs/>
          <w:szCs w:val="20"/>
          <w:lang w:val="es-ES"/>
        </w:rPr>
      </w:pPr>
      <w:r w:rsidRPr="00341F37">
        <w:rPr>
          <w:rFonts w:cs="Times New Roman"/>
          <w:bCs/>
          <w:szCs w:val="20"/>
          <w:lang w:val="es-ES"/>
        </w:rPr>
        <w:t>El Distrito de Salud de Tapachula (población 373,399), uno de los municipios con más casos en Chiapas, en donde se notifica</w:t>
      </w:r>
      <w:r w:rsidR="006B0618">
        <w:rPr>
          <w:rFonts w:cs="Times New Roman"/>
          <w:bCs/>
          <w:szCs w:val="20"/>
          <w:lang w:val="es-ES"/>
        </w:rPr>
        <w:t>ron</w:t>
      </w:r>
      <w:r w:rsidRPr="00341F37">
        <w:rPr>
          <w:rFonts w:cs="Times New Roman"/>
          <w:bCs/>
          <w:szCs w:val="20"/>
          <w:lang w:val="es-ES"/>
        </w:rPr>
        <w:t xml:space="preserve"> 881 casos para una tasa 236 por 100 mil, siendo 550 casos de DCSA y DG de acuerdo con las normas del país [1]. Como parte de la respuesta al alza, realiza</w:t>
      </w:r>
      <w:r w:rsidR="00552959">
        <w:rPr>
          <w:rFonts w:cs="Times New Roman"/>
          <w:bCs/>
          <w:szCs w:val="20"/>
          <w:lang w:val="es-ES"/>
        </w:rPr>
        <w:t>mos</w:t>
      </w:r>
      <w:r w:rsidRPr="00341F37">
        <w:rPr>
          <w:rFonts w:cs="Times New Roman"/>
          <w:bCs/>
          <w:szCs w:val="20"/>
          <w:lang w:val="es-ES"/>
        </w:rPr>
        <w:t xml:space="preserve"> una investigación de campo de cuyos resultados preliminares informamos en esta nota.</w:t>
      </w:r>
    </w:p>
    <w:p w14:paraId="004C61DF" w14:textId="77777777" w:rsidR="00341F37" w:rsidRPr="00341F37" w:rsidRDefault="00341F37" w:rsidP="00341F37">
      <w:pPr>
        <w:pStyle w:val="IOPText"/>
        <w:ind w:firstLine="284"/>
        <w:rPr>
          <w:rFonts w:cs="Times New Roman"/>
          <w:bCs/>
          <w:szCs w:val="20"/>
          <w:lang w:val="es-ES"/>
        </w:rPr>
      </w:pPr>
      <w:r w:rsidRPr="00341F37">
        <w:rPr>
          <w:rFonts w:cs="Times New Roman"/>
          <w:bCs/>
          <w:szCs w:val="20"/>
          <w:lang w:val="es-ES"/>
        </w:rPr>
        <w:t xml:space="preserve">Desde el mes de agosto de este año, establecimos un sistema de vigilancia centinela de enfermedades febriles con la cooperación de dos hospitales de Tapachula: el Hospital General de Tapachula Dr. Manuel Velasco de IMSS Bienestar y la Clínica-Hospital Dr. Roberto </w:t>
      </w:r>
      <w:proofErr w:type="spellStart"/>
      <w:r w:rsidRPr="00341F37">
        <w:rPr>
          <w:rFonts w:cs="Times New Roman"/>
          <w:bCs/>
          <w:szCs w:val="20"/>
          <w:lang w:val="es-ES"/>
        </w:rPr>
        <w:t>Nettel</w:t>
      </w:r>
      <w:proofErr w:type="spellEnd"/>
      <w:r w:rsidRPr="00341F37">
        <w:rPr>
          <w:rFonts w:cs="Times New Roman"/>
          <w:bCs/>
          <w:szCs w:val="20"/>
          <w:lang w:val="es-ES"/>
        </w:rPr>
        <w:t xml:space="preserve"> del ISSSTE. Obtuvimos información de las hojas diarias de la consulta de urgencias y los ingresos por enfermedades en las que los pacientes cursaban con cuadro febril. </w:t>
      </w:r>
    </w:p>
    <w:p w14:paraId="0D535293" w14:textId="2A306A64" w:rsidR="00341F37" w:rsidRPr="00341F37" w:rsidRDefault="00341F37" w:rsidP="00341F37">
      <w:pPr>
        <w:pStyle w:val="IOPText"/>
        <w:ind w:firstLine="284"/>
        <w:rPr>
          <w:rFonts w:cs="Times New Roman"/>
          <w:bCs/>
          <w:szCs w:val="20"/>
          <w:lang w:val="es-ES"/>
        </w:rPr>
      </w:pPr>
      <w:r w:rsidRPr="00341F37">
        <w:rPr>
          <w:rFonts w:cs="Times New Roman"/>
          <w:bCs/>
          <w:szCs w:val="20"/>
          <w:lang w:val="es-ES"/>
        </w:rPr>
        <w:t xml:space="preserve">Durante el periodo de estudio (1º de agosto a 31 de agosto de 2024), revisamos 521 hojas de consulta de las salas de urgencias. Doscientos treinta de estos pacientes presentaron cuadro febril (44.0%), de los que 166 (72.1%) eran sospechosos de dengue, pero sólo 64 (27.8%) se confirmaron por laboratorio y la </w:t>
      </w:r>
      <w:proofErr w:type="spellStart"/>
      <w:r w:rsidRPr="00341F37">
        <w:rPr>
          <w:rFonts w:cs="Times New Roman"/>
          <w:bCs/>
          <w:szCs w:val="20"/>
          <w:lang w:val="es-ES"/>
        </w:rPr>
        <w:t>serotipificación</w:t>
      </w:r>
      <w:proofErr w:type="spellEnd"/>
      <w:r w:rsidRPr="00341F37">
        <w:rPr>
          <w:rFonts w:cs="Times New Roman"/>
          <w:bCs/>
          <w:szCs w:val="20"/>
          <w:lang w:val="es-ES"/>
        </w:rPr>
        <w:t xml:space="preserve"> se realizó solamente en dos casos con DENV3. Debido a que Chiapas es considerado como un área endémica, no todos los pacientes sospechosos de dengue reciben una prueba confirmatoria por laboratorio. Una vez demostrada la existencia de casos en la localidad, sólo </w:t>
      </w:r>
      <w:r w:rsidRPr="00341F37">
        <w:rPr>
          <w:rFonts w:cs="Times New Roman"/>
          <w:bCs/>
          <w:szCs w:val="20"/>
          <w:lang w:val="es-ES"/>
        </w:rPr>
        <w:t>al 30% de los casos probables de dengue no grave se les toma</w:t>
      </w:r>
      <w:r w:rsidR="00573B2E">
        <w:rPr>
          <w:rFonts w:cs="Times New Roman"/>
          <w:bCs/>
          <w:szCs w:val="20"/>
          <w:lang w:val="es-ES"/>
        </w:rPr>
        <w:t>ba</w:t>
      </w:r>
      <w:r w:rsidRPr="00341F37">
        <w:rPr>
          <w:rFonts w:cs="Times New Roman"/>
          <w:bCs/>
          <w:szCs w:val="20"/>
          <w:lang w:val="es-ES"/>
        </w:rPr>
        <w:t xml:space="preserve"> muestra, mientras que a todos los casos de DCSA y DG se les toma</w:t>
      </w:r>
      <w:r w:rsidR="00573B2E">
        <w:rPr>
          <w:rFonts w:cs="Times New Roman"/>
          <w:bCs/>
          <w:szCs w:val="20"/>
          <w:lang w:val="es-ES"/>
        </w:rPr>
        <w:t>ban</w:t>
      </w:r>
      <w:r w:rsidRPr="00341F37">
        <w:rPr>
          <w:rFonts w:cs="Times New Roman"/>
          <w:bCs/>
          <w:szCs w:val="20"/>
          <w:lang w:val="es-ES"/>
        </w:rPr>
        <w:t xml:space="preserve"> muestras [2]. Durante este período vigilancia de pacientes con cuadro febril, hubo 2.9 veces el número de casos no confirmados pero sospechosos de dengue por cada caso confirmado.</w:t>
      </w:r>
    </w:p>
    <w:p w14:paraId="77C1AB57" w14:textId="77777777" w:rsidR="00A51C47" w:rsidRDefault="00341F37" w:rsidP="00341F37">
      <w:pPr>
        <w:pStyle w:val="IOPText"/>
        <w:ind w:firstLine="284"/>
        <w:rPr>
          <w:rFonts w:cs="Times New Roman"/>
          <w:bCs/>
          <w:szCs w:val="20"/>
          <w:lang w:val="es-ES"/>
        </w:rPr>
      </w:pPr>
      <w:r w:rsidRPr="00341F37">
        <w:rPr>
          <w:rFonts w:cs="Times New Roman"/>
          <w:bCs/>
          <w:szCs w:val="20"/>
          <w:lang w:val="es-ES"/>
        </w:rPr>
        <w:t>Orientamos los datos disponibles de los casos febriles y sospechosos de dengue por edad y sexo, fecha de consulta y lugar de residencia. Al comparar las edades entre confirmados y febriles, aunque la diferencia fue de menos de 5% y las diferencias (68.7% vs. 63,4%) no fueron estadísticamente significativas (</w:t>
      </w:r>
      <w:r w:rsidRPr="00552959">
        <w:rPr>
          <w:rFonts w:cs="Times New Roman"/>
          <w:bCs/>
          <w:i/>
          <w:iCs/>
          <w:szCs w:val="20"/>
          <w:lang w:val="es-ES"/>
        </w:rPr>
        <w:t>P</w:t>
      </w:r>
      <w:r w:rsidRPr="00341F37">
        <w:rPr>
          <w:rFonts w:cs="Times New Roman"/>
          <w:bCs/>
          <w:szCs w:val="20"/>
          <w:lang w:val="es-ES"/>
        </w:rPr>
        <w:t xml:space="preserve"> = 0.4) las proporciones no fueron equivalentes por una prueba de dos colas en una dirección para diferencias de al menos 10% (</w:t>
      </w:r>
      <w:r w:rsidRPr="00552959">
        <w:rPr>
          <w:rFonts w:cs="Times New Roman"/>
          <w:bCs/>
          <w:i/>
          <w:iCs/>
          <w:szCs w:val="20"/>
          <w:lang w:val="es-ES"/>
        </w:rPr>
        <w:t>P</w:t>
      </w:r>
      <w:r w:rsidRPr="00341F37">
        <w:rPr>
          <w:rFonts w:cs="Times New Roman"/>
          <w:bCs/>
          <w:szCs w:val="20"/>
          <w:lang w:val="es-ES"/>
        </w:rPr>
        <w:t xml:space="preserve"> = 0.2). Por sexo los casos confirmados ocurrieron más en el sexo femenino (diferencia de 13.7%) y fue limítrofe en significancia estadística (</w:t>
      </w:r>
      <w:r w:rsidRPr="00552959">
        <w:rPr>
          <w:rFonts w:cs="Times New Roman"/>
          <w:bCs/>
          <w:i/>
          <w:iCs/>
          <w:szCs w:val="20"/>
          <w:lang w:val="es-ES"/>
        </w:rPr>
        <w:t>P</w:t>
      </w:r>
      <w:r w:rsidRPr="00341F37">
        <w:rPr>
          <w:rFonts w:cs="Times New Roman"/>
          <w:bCs/>
          <w:szCs w:val="20"/>
          <w:lang w:val="es-ES"/>
        </w:rPr>
        <w:t xml:space="preserve"> = 0.05) y no hubo equivalencia </w:t>
      </w:r>
      <w:r w:rsidR="00141B92" w:rsidRPr="00141B92">
        <w:rPr>
          <w:rFonts w:cs="Times New Roman"/>
          <w:bCs/>
          <w:szCs w:val="20"/>
          <w:lang w:val="es-ES"/>
        </w:rPr>
        <w:t xml:space="preserve">utilizando la prueba antes descrita </w:t>
      </w:r>
      <w:r w:rsidRPr="00552959">
        <w:rPr>
          <w:rFonts w:cs="Times New Roman"/>
          <w:bCs/>
          <w:i/>
          <w:iCs/>
          <w:szCs w:val="20"/>
          <w:lang w:val="es-ES"/>
        </w:rPr>
        <w:t>(P</w:t>
      </w:r>
      <w:r w:rsidRPr="00341F37">
        <w:rPr>
          <w:rFonts w:cs="Times New Roman"/>
          <w:bCs/>
          <w:szCs w:val="20"/>
          <w:lang w:val="es-ES"/>
        </w:rPr>
        <w:t xml:space="preserve"> = 0.7) (Cuadro 1).  La distribución por lugar de residencia muestra un gran traslape entre estos dos grupos (Figura 1)</w:t>
      </w:r>
      <w:r w:rsidR="00A51C47">
        <w:rPr>
          <w:rFonts w:cs="Times New Roman"/>
          <w:bCs/>
          <w:szCs w:val="20"/>
          <w:lang w:val="es-ES"/>
        </w:rPr>
        <w:t>.</w:t>
      </w:r>
      <w:r w:rsidR="00873707">
        <w:rPr>
          <w:rFonts w:cs="Times New Roman"/>
          <w:bCs/>
          <w:szCs w:val="20"/>
          <w:lang w:val="es-ES"/>
        </w:rPr>
        <w:t xml:space="preserve"> </w:t>
      </w:r>
    </w:p>
    <w:p w14:paraId="72AA6244" w14:textId="1378E486" w:rsidR="00552959" w:rsidRDefault="00A51C47" w:rsidP="00341F37">
      <w:pPr>
        <w:pStyle w:val="IOPText"/>
        <w:ind w:firstLine="284"/>
        <w:rPr>
          <w:rFonts w:cs="Times New Roman"/>
          <w:bCs/>
          <w:szCs w:val="20"/>
          <w:lang w:val="es-MX"/>
        </w:rPr>
      </w:pPr>
      <w:r>
        <w:rPr>
          <w:rFonts w:cs="Times New Roman"/>
          <w:bCs/>
          <w:szCs w:val="20"/>
          <w:lang w:val="es-ES"/>
        </w:rPr>
        <w:t>L</w:t>
      </w:r>
      <w:r w:rsidR="00DA11D0" w:rsidRPr="00DA11D0">
        <w:rPr>
          <w:rFonts w:cs="Times New Roman"/>
          <w:bCs/>
          <w:szCs w:val="20"/>
          <w:lang w:val="es-MX"/>
        </w:rPr>
        <w:t>os casos atendidos en las unidades centinela tanto confirmados por dengue como febriles, t</w:t>
      </w:r>
      <w:r w:rsidR="004251BF">
        <w:rPr>
          <w:rFonts w:cs="Times New Roman"/>
          <w:bCs/>
          <w:szCs w:val="20"/>
          <w:lang w:val="es-MX"/>
        </w:rPr>
        <w:t>uvieron</w:t>
      </w:r>
      <w:r w:rsidR="00DA11D0" w:rsidRPr="00DA11D0">
        <w:rPr>
          <w:rFonts w:cs="Times New Roman"/>
          <w:bCs/>
          <w:szCs w:val="20"/>
          <w:lang w:val="es-MX"/>
        </w:rPr>
        <w:t xml:space="preserve"> una distribución similar en cuanto a fecha de solicitud de atención médica y no m</w:t>
      </w:r>
      <w:r w:rsidR="004251BF">
        <w:rPr>
          <w:rFonts w:cs="Times New Roman"/>
          <w:bCs/>
          <w:szCs w:val="20"/>
          <w:lang w:val="es-MX"/>
        </w:rPr>
        <w:t>ostraron</w:t>
      </w:r>
      <w:r w:rsidR="00DA11D0" w:rsidRPr="00DA11D0">
        <w:rPr>
          <w:rFonts w:cs="Times New Roman"/>
          <w:bCs/>
          <w:szCs w:val="20"/>
          <w:lang w:val="es-MX"/>
        </w:rPr>
        <w:t xml:space="preserve"> un aumento o decremento dentro del período de vigilancia centinela (Figura 3).</w:t>
      </w:r>
      <w:r>
        <w:rPr>
          <w:rFonts w:cs="Times New Roman"/>
          <w:bCs/>
          <w:szCs w:val="20"/>
          <w:lang w:val="es-MX"/>
        </w:rPr>
        <w:t xml:space="preserve"> </w:t>
      </w:r>
    </w:p>
    <w:p w14:paraId="7B99A8CD" w14:textId="5D1951B4" w:rsidR="00A51C47" w:rsidRDefault="00A51C47" w:rsidP="00341F37">
      <w:pPr>
        <w:pStyle w:val="IOPText"/>
        <w:ind w:firstLine="284"/>
        <w:rPr>
          <w:rFonts w:cs="Times New Roman"/>
          <w:bCs/>
          <w:szCs w:val="20"/>
          <w:lang w:val="es-MX"/>
        </w:rPr>
      </w:pPr>
      <w:r>
        <w:rPr>
          <w:rFonts w:cs="Times New Roman"/>
          <w:bCs/>
          <w:szCs w:val="20"/>
          <w:lang w:val="es-ES"/>
        </w:rPr>
        <w:t>Las semejanzas</w:t>
      </w:r>
      <w:r w:rsidRPr="00341F37">
        <w:rPr>
          <w:rFonts w:cs="Times New Roman"/>
          <w:bCs/>
          <w:szCs w:val="20"/>
          <w:lang w:val="es-ES"/>
        </w:rPr>
        <w:t xml:space="preserve"> sugiere</w:t>
      </w:r>
      <w:r>
        <w:rPr>
          <w:rFonts w:cs="Times New Roman"/>
          <w:bCs/>
          <w:szCs w:val="20"/>
          <w:lang w:val="es-ES"/>
        </w:rPr>
        <w:t>n</w:t>
      </w:r>
      <w:r w:rsidRPr="00341F37">
        <w:rPr>
          <w:rFonts w:cs="Times New Roman"/>
          <w:bCs/>
          <w:szCs w:val="20"/>
          <w:lang w:val="es-ES"/>
        </w:rPr>
        <w:t xml:space="preserve"> fuertemente que los casos febriles pudieran ser dengue también</w:t>
      </w:r>
      <w:r w:rsidR="00164691">
        <w:rPr>
          <w:rFonts w:cs="Times New Roman"/>
          <w:bCs/>
          <w:szCs w:val="20"/>
          <w:lang w:val="es-ES"/>
        </w:rPr>
        <w:t>.</w:t>
      </w:r>
    </w:p>
    <w:p w14:paraId="6FDFFD2C" w14:textId="77777777" w:rsidR="00DC357A" w:rsidRDefault="0068451C" w:rsidP="00341F37">
      <w:pPr>
        <w:pStyle w:val="IOPText"/>
        <w:ind w:firstLine="284"/>
        <w:rPr>
          <w:rFonts w:cs="Times New Roman"/>
          <w:bCs/>
          <w:szCs w:val="20"/>
          <w:lang w:val="es-MX"/>
        </w:rPr>
        <w:sectPr w:rsidR="00DC357A" w:rsidSect="003A5833">
          <w:headerReference w:type="default" r:id="rId15"/>
          <w:footerReference w:type="default" r:id="rId16"/>
          <w:type w:val="continuous"/>
          <w:pgSz w:w="11906" w:h="16838" w:code="9"/>
          <w:pgMar w:top="1418" w:right="907" w:bottom="2041" w:left="907" w:header="709" w:footer="709" w:gutter="0"/>
          <w:cols w:num="2" w:space="227"/>
          <w:titlePg/>
          <w:docGrid w:linePitch="360"/>
        </w:sectPr>
      </w:pPr>
      <w:r w:rsidRPr="0068451C">
        <w:rPr>
          <w:rFonts w:cs="Times New Roman"/>
          <w:bCs/>
          <w:szCs w:val="20"/>
          <w:lang w:val="es-MX"/>
        </w:rPr>
        <w:t>El programa de control de</w:t>
      </w:r>
      <w:r w:rsidRPr="004251BF">
        <w:rPr>
          <w:rFonts w:cs="Times New Roman"/>
          <w:bCs/>
          <w:i/>
          <w:iCs/>
          <w:szCs w:val="20"/>
          <w:lang w:val="es-MX"/>
        </w:rPr>
        <w:t xml:space="preserve"> Aedes </w:t>
      </w:r>
      <w:proofErr w:type="spellStart"/>
      <w:r w:rsidRPr="004251BF">
        <w:rPr>
          <w:rFonts w:cs="Times New Roman"/>
          <w:bCs/>
          <w:i/>
          <w:iCs/>
          <w:szCs w:val="20"/>
          <w:lang w:val="es-MX"/>
        </w:rPr>
        <w:t>aegypti</w:t>
      </w:r>
      <w:proofErr w:type="spellEnd"/>
      <w:r w:rsidRPr="004251BF">
        <w:rPr>
          <w:rFonts w:cs="Times New Roman"/>
          <w:bCs/>
          <w:i/>
          <w:iCs/>
          <w:szCs w:val="20"/>
          <w:lang w:val="es-MX"/>
        </w:rPr>
        <w:t xml:space="preserve"> </w:t>
      </w:r>
      <w:r w:rsidRPr="0068451C">
        <w:rPr>
          <w:rFonts w:cs="Times New Roman"/>
          <w:bCs/>
          <w:szCs w:val="20"/>
          <w:lang w:val="es-MX"/>
        </w:rPr>
        <w:t>en Tapachula c</w:t>
      </w:r>
      <w:r w:rsidR="004251BF">
        <w:rPr>
          <w:rFonts w:cs="Times New Roman"/>
          <w:bCs/>
          <w:szCs w:val="20"/>
          <w:lang w:val="es-MX"/>
        </w:rPr>
        <w:t>ontaba</w:t>
      </w:r>
      <w:r w:rsidR="00F46605">
        <w:rPr>
          <w:rFonts w:cs="Times New Roman"/>
          <w:bCs/>
          <w:szCs w:val="20"/>
          <w:lang w:val="es-MX"/>
        </w:rPr>
        <w:t xml:space="preserve"> </w:t>
      </w:r>
      <w:r w:rsidRPr="0068451C">
        <w:rPr>
          <w:rFonts w:cs="Times New Roman"/>
          <w:bCs/>
          <w:szCs w:val="20"/>
          <w:lang w:val="es-MX"/>
        </w:rPr>
        <w:t>con personal dedicado y presupuesto que lleva a cabo actividades de evaluación de infestación en viviendas, fumigación y control larvario y todo el personal del distrito de salud realiza actividades de educación al público y al personal de salud, utilizando diferentes canales de difusión masiva. Las actividades se intensifica</w:t>
      </w:r>
      <w:r w:rsidR="00F46605">
        <w:rPr>
          <w:rFonts w:cs="Times New Roman"/>
          <w:bCs/>
          <w:szCs w:val="20"/>
          <w:lang w:val="es-MX"/>
        </w:rPr>
        <w:t>ron</w:t>
      </w:r>
      <w:r w:rsidRPr="0068451C">
        <w:rPr>
          <w:rFonts w:cs="Times New Roman"/>
          <w:bCs/>
          <w:szCs w:val="20"/>
          <w:lang w:val="es-MX"/>
        </w:rPr>
        <w:t xml:space="preserve"> desde el inicio de la temporada de lluvias, que en Tapachula se extiende de abril a octubre de </w:t>
      </w:r>
    </w:p>
    <w:p w14:paraId="7068962A" w14:textId="41CA2F25" w:rsidR="00A44F3B" w:rsidRDefault="0068451C" w:rsidP="008523F1">
      <w:pPr>
        <w:pStyle w:val="IOPText"/>
        <w:ind w:firstLine="0"/>
        <w:jc w:val="left"/>
        <w:rPr>
          <w:rFonts w:cs="Times New Roman"/>
          <w:bCs/>
          <w:szCs w:val="20"/>
          <w:lang w:val="es-MX"/>
        </w:rPr>
        <w:sectPr w:rsidR="00A44F3B" w:rsidSect="008523F1">
          <w:type w:val="continuous"/>
          <w:pgSz w:w="11906" w:h="16838" w:code="9"/>
          <w:pgMar w:top="1418" w:right="907" w:bottom="2041" w:left="907" w:header="709" w:footer="709" w:gutter="0"/>
          <w:cols w:num="2" w:space="227"/>
          <w:titlePg/>
          <w:docGrid w:linePitch="360"/>
        </w:sectPr>
      </w:pPr>
      <w:r w:rsidRPr="0068451C">
        <w:rPr>
          <w:rFonts w:cs="Times New Roman"/>
          <w:bCs/>
          <w:szCs w:val="20"/>
          <w:lang w:val="es-MX"/>
        </w:rPr>
        <w:lastRenderedPageBreak/>
        <w:t>cada año. Se contin</w:t>
      </w:r>
      <w:r w:rsidR="00F46605">
        <w:rPr>
          <w:rFonts w:cs="Times New Roman"/>
          <w:bCs/>
          <w:szCs w:val="20"/>
          <w:lang w:val="es-MX"/>
        </w:rPr>
        <w:t>uaban</w:t>
      </w:r>
      <w:r w:rsidRPr="0068451C">
        <w:rPr>
          <w:rFonts w:cs="Times New Roman"/>
          <w:bCs/>
          <w:szCs w:val="20"/>
          <w:lang w:val="es-MX"/>
        </w:rPr>
        <w:t xml:space="preserve"> con investigaciones de campo que se están llevando a cabo simultáneamente con las actividades de control.</w:t>
      </w:r>
    </w:p>
    <w:p w14:paraId="101B92F4" w14:textId="35152C35" w:rsidR="0068451C" w:rsidRDefault="0068451C" w:rsidP="00341F37">
      <w:pPr>
        <w:pStyle w:val="IOPText"/>
        <w:ind w:firstLine="284"/>
        <w:rPr>
          <w:rFonts w:cs="Times New Roman"/>
          <w:bCs/>
          <w:szCs w:val="20"/>
          <w:lang w:val="es-MX"/>
        </w:rPr>
      </w:pPr>
    </w:p>
    <w:tbl>
      <w:tblPr>
        <w:tblW w:w="9356" w:type="dxa"/>
        <w:jc w:val="center"/>
        <w:tblCellMar>
          <w:top w:w="15" w:type="dxa"/>
          <w:left w:w="70" w:type="dxa"/>
          <w:bottom w:w="15" w:type="dxa"/>
          <w:right w:w="70" w:type="dxa"/>
        </w:tblCellMar>
        <w:tblLook w:val="04A0" w:firstRow="1" w:lastRow="0" w:firstColumn="1" w:lastColumn="0" w:noHBand="0" w:noVBand="1"/>
      </w:tblPr>
      <w:tblGrid>
        <w:gridCol w:w="1276"/>
        <w:gridCol w:w="1418"/>
        <w:gridCol w:w="1177"/>
        <w:gridCol w:w="1369"/>
        <w:gridCol w:w="164"/>
        <w:gridCol w:w="1542"/>
        <w:gridCol w:w="992"/>
        <w:gridCol w:w="1418"/>
      </w:tblGrid>
      <w:tr w:rsidR="00F752F4" w:rsidRPr="00716B77" w14:paraId="111E8FDE" w14:textId="77777777" w:rsidTr="00DC357A">
        <w:trPr>
          <w:trHeight w:val="561"/>
          <w:jc w:val="center"/>
        </w:trPr>
        <w:tc>
          <w:tcPr>
            <w:tcW w:w="9356" w:type="dxa"/>
            <w:gridSpan w:val="8"/>
            <w:tcBorders>
              <w:bottom w:val="double" w:sz="4" w:space="0" w:color="auto"/>
            </w:tcBorders>
            <w:vAlign w:val="center"/>
          </w:tcPr>
          <w:p w14:paraId="67A07111" w14:textId="77777777" w:rsidR="00F752F4" w:rsidRPr="00BE72F6" w:rsidRDefault="00F752F4" w:rsidP="00BF232D">
            <w:pPr>
              <w:spacing w:after="0" w:line="240" w:lineRule="auto"/>
              <w:jc w:val="center"/>
              <w:rPr>
                <w:rFonts w:ascii="Times New Roman" w:eastAsia="Times New Roman" w:hAnsi="Times New Roman" w:cs="Times New Roman"/>
                <w:b/>
                <w:bCs/>
                <w:color w:val="000000"/>
                <w:sz w:val="18"/>
                <w:szCs w:val="18"/>
                <w:lang w:val="es-MX" w:eastAsia="es-MX"/>
              </w:rPr>
            </w:pPr>
            <w:r w:rsidRPr="00BE72F6">
              <w:rPr>
                <w:rFonts w:ascii="Times New Roman" w:eastAsia="Times New Roman" w:hAnsi="Times New Roman" w:cs="Times New Roman"/>
                <w:b/>
                <w:bCs/>
                <w:color w:val="000000"/>
                <w:sz w:val="18"/>
                <w:szCs w:val="18"/>
                <w:lang w:val="es-MX" w:eastAsia="es-MX"/>
              </w:rPr>
              <w:t>Cuadro 1. Distribución por sexo y grupo de edad de los casos confirmados de dengue y casos febriles, atendidos por los sitios centinela de Tapachula, agosto 2024.</w:t>
            </w:r>
          </w:p>
        </w:tc>
      </w:tr>
      <w:tr w:rsidR="00F752F4" w:rsidRPr="00BE72F6" w14:paraId="2588DE8F" w14:textId="77777777" w:rsidTr="00DC357A">
        <w:trPr>
          <w:trHeight w:val="300"/>
          <w:jc w:val="center"/>
        </w:trPr>
        <w:tc>
          <w:tcPr>
            <w:tcW w:w="1276" w:type="dxa"/>
            <w:tcBorders>
              <w:top w:val="double" w:sz="4" w:space="0" w:color="auto"/>
            </w:tcBorders>
            <w:noWrap/>
            <w:vAlign w:val="bottom"/>
            <w:hideMark/>
          </w:tcPr>
          <w:p w14:paraId="5C81E055" w14:textId="77777777" w:rsidR="00F752F4" w:rsidRPr="00BE72F6" w:rsidRDefault="00F752F4" w:rsidP="00BF232D">
            <w:pPr>
              <w:spacing w:after="0" w:line="240" w:lineRule="auto"/>
              <w:rPr>
                <w:rFonts w:ascii="Times New Roman" w:eastAsia="Times New Roman" w:hAnsi="Times New Roman" w:cs="Times New Roman"/>
                <w:sz w:val="18"/>
                <w:szCs w:val="18"/>
                <w:lang w:val="es-MX" w:eastAsia="es-MX"/>
              </w:rPr>
            </w:pPr>
          </w:p>
        </w:tc>
        <w:tc>
          <w:tcPr>
            <w:tcW w:w="3964" w:type="dxa"/>
            <w:gridSpan w:val="3"/>
            <w:tcBorders>
              <w:bottom w:val="single" w:sz="4" w:space="0" w:color="auto"/>
            </w:tcBorders>
            <w:noWrap/>
            <w:vAlign w:val="bottom"/>
            <w:hideMark/>
          </w:tcPr>
          <w:p w14:paraId="7D880EEB" w14:textId="77777777" w:rsidR="00F752F4" w:rsidRPr="00BE72F6" w:rsidRDefault="00F752F4" w:rsidP="00BF232D">
            <w:pPr>
              <w:spacing w:after="0" w:line="240" w:lineRule="auto"/>
              <w:jc w:val="center"/>
              <w:rPr>
                <w:rFonts w:ascii="Times New Roman" w:eastAsia="Times New Roman" w:hAnsi="Times New Roman" w:cs="Times New Roman"/>
                <w:color w:val="000000"/>
                <w:sz w:val="18"/>
                <w:szCs w:val="18"/>
                <w:lang w:val="es-MX" w:eastAsia="es-MX"/>
              </w:rPr>
            </w:pPr>
            <w:r w:rsidRPr="00BE72F6">
              <w:rPr>
                <w:rFonts w:ascii="Times New Roman" w:eastAsia="Times New Roman" w:hAnsi="Times New Roman" w:cs="Times New Roman"/>
                <w:color w:val="000000"/>
                <w:sz w:val="18"/>
                <w:szCs w:val="18"/>
                <w:lang w:val="es-MX" w:eastAsia="es-MX"/>
              </w:rPr>
              <w:t>Confirmados</w:t>
            </w:r>
          </w:p>
        </w:tc>
        <w:tc>
          <w:tcPr>
            <w:tcW w:w="164" w:type="dxa"/>
          </w:tcPr>
          <w:p w14:paraId="67B138BE" w14:textId="77777777" w:rsidR="00F752F4" w:rsidRPr="00BE72F6" w:rsidRDefault="00F752F4" w:rsidP="00BF232D">
            <w:pPr>
              <w:spacing w:after="0" w:line="240" w:lineRule="auto"/>
              <w:jc w:val="center"/>
              <w:rPr>
                <w:rFonts w:ascii="Times New Roman" w:eastAsia="Times New Roman" w:hAnsi="Times New Roman" w:cs="Times New Roman"/>
                <w:color w:val="000000"/>
                <w:sz w:val="18"/>
                <w:szCs w:val="18"/>
                <w:lang w:val="es-MX" w:eastAsia="es-MX"/>
              </w:rPr>
            </w:pPr>
          </w:p>
        </w:tc>
        <w:tc>
          <w:tcPr>
            <w:tcW w:w="3952" w:type="dxa"/>
            <w:gridSpan w:val="3"/>
            <w:noWrap/>
            <w:vAlign w:val="bottom"/>
            <w:hideMark/>
          </w:tcPr>
          <w:p w14:paraId="14DAB61B" w14:textId="77777777" w:rsidR="00F752F4" w:rsidRPr="00BE72F6" w:rsidRDefault="00F752F4" w:rsidP="00BF232D">
            <w:pPr>
              <w:spacing w:after="0" w:line="240" w:lineRule="auto"/>
              <w:jc w:val="center"/>
              <w:rPr>
                <w:rFonts w:ascii="Times New Roman" w:eastAsia="Times New Roman" w:hAnsi="Times New Roman" w:cs="Times New Roman"/>
                <w:color w:val="000000"/>
                <w:sz w:val="18"/>
                <w:szCs w:val="18"/>
                <w:lang w:val="es-MX" w:eastAsia="es-MX"/>
              </w:rPr>
            </w:pPr>
            <w:r w:rsidRPr="00BE72F6">
              <w:rPr>
                <w:rFonts w:ascii="Times New Roman" w:eastAsia="Times New Roman" w:hAnsi="Times New Roman" w:cs="Times New Roman"/>
                <w:color w:val="000000"/>
                <w:sz w:val="18"/>
                <w:szCs w:val="18"/>
                <w:lang w:val="es-MX" w:eastAsia="es-MX"/>
              </w:rPr>
              <w:t>Febriles</w:t>
            </w:r>
          </w:p>
        </w:tc>
      </w:tr>
      <w:tr w:rsidR="00F752F4" w:rsidRPr="00BE72F6" w14:paraId="641D9DAE" w14:textId="77777777" w:rsidTr="00DC357A">
        <w:trPr>
          <w:trHeight w:val="315"/>
          <w:jc w:val="center"/>
        </w:trPr>
        <w:tc>
          <w:tcPr>
            <w:tcW w:w="1276" w:type="dxa"/>
            <w:tcBorders>
              <w:bottom w:val="double" w:sz="4" w:space="0" w:color="auto"/>
            </w:tcBorders>
            <w:noWrap/>
            <w:vAlign w:val="bottom"/>
            <w:hideMark/>
          </w:tcPr>
          <w:p w14:paraId="0ECEE8FF" w14:textId="77777777" w:rsidR="00F752F4" w:rsidRPr="00BE72F6" w:rsidRDefault="00F752F4" w:rsidP="00BF232D">
            <w:pPr>
              <w:spacing w:after="0" w:line="240" w:lineRule="auto"/>
              <w:jc w:val="center"/>
              <w:rPr>
                <w:rFonts w:ascii="Times New Roman" w:eastAsia="Times New Roman" w:hAnsi="Times New Roman" w:cs="Times New Roman"/>
                <w:color w:val="000000"/>
                <w:sz w:val="18"/>
                <w:szCs w:val="18"/>
                <w:lang w:val="es-MX" w:eastAsia="es-MX"/>
              </w:rPr>
            </w:pPr>
          </w:p>
        </w:tc>
        <w:tc>
          <w:tcPr>
            <w:tcW w:w="1418" w:type="dxa"/>
            <w:tcBorders>
              <w:top w:val="single" w:sz="4" w:space="0" w:color="auto"/>
              <w:bottom w:val="double" w:sz="4" w:space="0" w:color="auto"/>
            </w:tcBorders>
            <w:noWrap/>
            <w:vAlign w:val="bottom"/>
            <w:hideMark/>
          </w:tcPr>
          <w:p w14:paraId="32CD3855" w14:textId="77777777" w:rsidR="00F752F4" w:rsidRPr="00BE72F6" w:rsidRDefault="00F752F4" w:rsidP="00BF232D">
            <w:pPr>
              <w:spacing w:after="0" w:line="240" w:lineRule="auto"/>
              <w:jc w:val="center"/>
              <w:rPr>
                <w:rFonts w:ascii="Times New Roman" w:eastAsia="Times New Roman" w:hAnsi="Times New Roman" w:cs="Times New Roman"/>
                <w:color w:val="000000"/>
                <w:sz w:val="18"/>
                <w:szCs w:val="18"/>
                <w:lang w:val="es-MX" w:eastAsia="es-MX"/>
              </w:rPr>
            </w:pPr>
            <w:r w:rsidRPr="00BE72F6">
              <w:rPr>
                <w:rFonts w:ascii="Times New Roman" w:eastAsia="Times New Roman" w:hAnsi="Times New Roman" w:cs="Times New Roman"/>
                <w:color w:val="000000"/>
                <w:sz w:val="18"/>
                <w:szCs w:val="18"/>
                <w:lang w:val="es-MX" w:eastAsia="es-MX"/>
              </w:rPr>
              <w:t>Femenino (%)</w:t>
            </w:r>
          </w:p>
        </w:tc>
        <w:tc>
          <w:tcPr>
            <w:tcW w:w="1177" w:type="dxa"/>
            <w:tcBorders>
              <w:top w:val="single" w:sz="4" w:space="0" w:color="auto"/>
              <w:bottom w:val="double" w:sz="4" w:space="0" w:color="auto"/>
            </w:tcBorders>
            <w:noWrap/>
            <w:vAlign w:val="bottom"/>
            <w:hideMark/>
          </w:tcPr>
          <w:p w14:paraId="05F6E97A" w14:textId="77777777" w:rsidR="00F752F4" w:rsidRPr="00BE72F6" w:rsidRDefault="00F752F4" w:rsidP="00BF232D">
            <w:pPr>
              <w:spacing w:after="0" w:line="240" w:lineRule="auto"/>
              <w:jc w:val="center"/>
              <w:rPr>
                <w:rFonts w:ascii="Times New Roman" w:eastAsia="Times New Roman" w:hAnsi="Times New Roman" w:cs="Times New Roman"/>
                <w:color w:val="000000"/>
                <w:sz w:val="18"/>
                <w:szCs w:val="18"/>
                <w:lang w:val="es-MX" w:eastAsia="es-MX"/>
              </w:rPr>
            </w:pPr>
            <w:r w:rsidRPr="00BE72F6">
              <w:rPr>
                <w:rFonts w:ascii="Times New Roman" w:eastAsia="Times New Roman" w:hAnsi="Times New Roman" w:cs="Times New Roman"/>
                <w:color w:val="000000"/>
                <w:sz w:val="18"/>
                <w:szCs w:val="18"/>
                <w:lang w:val="es-MX" w:eastAsia="es-MX"/>
              </w:rPr>
              <w:t>Masculino</w:t>
            </w:r>
          </w:p>
        </w:tc>
        <w:tc>
          <w:tcPr>
            <w:tcW w:w="1369" w:type="dxa"/>
            <w:tcBorders>
              <w:top w:val="single" w:sz="4" w:space="0" w:color="auto"/>
              <w:bottom w:val="double" w:sz="4" w:space="0" w:color="auto"/>
            </w:tcBorders>
            <w:noWrap/>
            <w:vAlign w:val="bottom"/>
            <w:hideMark/>
          </w:tcPr>
          <w:p w14:paraId="6C67A391" w14:textId="77777777" w:rsidR="00F752F4" w:rsidRPr="00BE72F6" w:rsidRDefault="00F752F4" w:rsidP="00BF232D">
            <w:pPr>
              <w:spacing w:after="0" w:line="240" w:lineRule="auto"/>
              <w:jc w:val="center"/>
              <w:rPr>
                <w:rFonts w:ascii="Times New Roman" w:eastAsia="Times New Roman" w:hAnsi="Times New Roman" w:cs="Times New Roman"/>
                <w:color w:val="000000"/>
                <w:sz w:val="18"/>
                <w:szCs w:val="18"/>
                <w:lang w:val="es-MX" w:eastAsia="es-MX"/>
              </w:rPr>
            </w:pPr>
            <w:r w:rsidRPr="00BE72F6">
              <w:rPr>
                <w:rFonts w:ascii="Times New Roman" w:eastAsia="Times New Roman" w:hAnsi="Times New Roman" w:cs="Times New Roman"/>
                <w:color w:val="000000"/>
                <w:sz w:val="18"/>
                <w:szCs w:val="18"/>
                <w:lang w:val="es-MX" w:eastAsia="es-MX"/>
              </w:rPr>
              <w:t>Total (%)</w:t>
            </w:r>
          </w:p>
        </w:tc>
        <w:tc>
          <w:tcPr>
            <w:tcW w:w="164" w:type="dxa"/>
            <w:tcBorders>
              <w:bottom w:val="double" w:sz="4" w:space="0" w:color="auto"/>
            </w:tcBorders>
          </w:tcPr>
          <w:p w14:paraId="5EFADEFF" w14:textId="77777777" w:rsidR="00F752F4" w:rsidRPr="00BE72F6" w:rsidRDefault="00F752F4" w:rsidP="00BF232D">
            <w:pPr>
              <w:spacing w:after="0" w:line="240" w:lineRule="auto"/>
              <w:jc w:val="center"/>
              <w:rPr>
                <w:rFonts w:ascii="Times New Roman" w:eastAsia="Times New Roman" w:hAnsi="Times New Roman" w:cs="Times New Roman"/>
                <w:color w:val="000000"/>
                <w:sz w:val="18"/>
                <w:szCs w:val="18"/>
                <w:lang w:val="es-MX" w:eastAsia="es-MX"/>
              </w:rPr>
            </w:pPr>
          </w:p>
        </w:tc>
        <w:tc>
          <w:tcPr>
            <w:tcW w:w="1542" w:type="dxa"/>
            <w:tcBorders>
              <w:top w:val="single" w:sz="4" w:space="0" w:color="auto"/>
              <w:bottom w:val="double" w:sz="4" w:space="0" w:color="auto"/>
            </w:tcBorders>
            <w:noWrap/>
            <w:vAlign w:val="bottom"/>
            <w:hideMark/>
          </w:tcPr>
          <w:p w14:paraId="5949B713" w14:textId="77777777" w:rsidR="00F752F4" w:rsidRPr="00BE72F6" w:rsidRDefault="00F752F4" w:rsidP="00BF232D">
            <w:pPr>
              <w:spacing w:after="0" w:line="240" w:lineRule="auto"/>
              <w:jc w:val="center"/>
              <w:rPr>
                <w:rFonts w:ascii="Times New Roman" w:eastAsia="Times New Roman" w:hAnsi="Times New Roman" w:cs="Times New Roman"/>
                <w:color w:val="000000"/>
                <w:sz w:val="18"/>
                <w:szCs w:val="18"/>
                <w:lang w:val="es-MX" w:eastAsia="es-MX"/>
              </w:rPr>
            </w:pPr>
            <w:r w:rsidRPr="00BE72F6">
              <w:rPr>
                <w:rFonts w:ascii="Times New Roman" w:eastAsia="Times New Roman" w:hAnsi="Times New Roman" w:cs="Times New Roman"/>
                <w:color w:val="000000"/>
                <w:sz w:val="18"/>
                <w:szCs w:val="18"/>
                <w:lang w:val="es-MX" w:eastAsia="es-MX"/>
              </w:rPr>
              <w:t>Femenino (%)</w:t>
            </w:r>
          </w:p>
        </w:tc>
        <w:tc>
          <w:tcPr>
            <w:tcW w:w="992" w:type="dxa"/>
            <w:tcBorders>
              <w:top w:val="single" w:sz="4" w:space="0" w:color="auto"/>
              <w:bottom w:val="double" w:sz="4" w:space="0" w:color="auto"/>
            </w:tcBorders>
            <w:noWrap/>
            <w:vAlign w:val="bottom"/>
            <w:hideMark/>
          </w:tcPr>
          <w:p w14:paraId="7C0136F4" w14:textId="77777777" w:rsidR="00F752F4" w:rsidRPr="00BE72F6" w:rsidRDefault="00F752F4" w:rsidP="00BF232D">
            <w:pPr>
              <w:spacing w:after="0" w:line="240" w:lineRule="auto"/>
              <w:jc w:val="center"/>
              <w:rPr>
                <w:rFonts w:ascii="Times New Roman" w:eastAsia="Times New Roman" w:hAnsi="Times New Roman" w:cs="Times New Roman"/>
                <w:color w:val="000000"/>
                <w:sz w:val="18"/>
                <w:szCs w:val="18"/>
                <w:lang w:val="es-MX" w:eastAsia="es-MX"/>
              </w:rPr>
            </w:pPr>
            <w:r w:rsidRPr="00BE72F6">
              <w:rPr>
                <w:rFonts w:ascii="Times New Roman" w:eastAsia="Times New Roman" w:hAnsi="Times New Roman" w:cs="Times New Roman"/>
                <w:color w:val="000000"/>
                <w:sz w:val="18"/>
                <w:szCs w:val="18"/>
                <w:lang w:val="es-MX" w:eastAsia="es-MX"/>
              </w:rPr>
              <w:t>Masculino</w:t>
            </w:r>
          </w:p>
        </w:tc>
        <w:tc>
          <w:tcPr>
            <w:tcW w:w="1418" w:type="dxa"/>
            <w:tcBorders>
              <w:top w:val="single" w:sz="4" w:space="0" w:color="auto"/>
              <w:bottom w:val="double" w:sz="4" w:space="0" w:color="auto"/>
            </w:tcBorders>
            <w:vAlign w:val="bottom"/>
            <w:hideMark/>
          </w:tcPr>
          <w:p w14:paraId="55A633CA" w14:textId="77777777" w:rsidR="00F752F4" w:rsidRPr="00BE72F6" w:rsidRDefault="00F752F4" w:rsidP="00BF232D">
            <w:pPr>
              <w:spacing w:after="0" w:line="240" w:lineRule="auto"/>
              <w:jc w:val="center"/>
              <w:rPr>
                <w:rFonts w:ascii="Times New Roman" w:eastAsia="Times New Roman" w:hAnsi="Times New Roman" w:cs="Times New Roman"/>
                <w:color w:val="000000"/>
                <w:sz w:val="18"/>
                <w:szCs w:val="18"/>
                <w:lang w:val="es-MX" w:eastAsia="es-MX"/>
              </w:rPr>
            </w:pPr>
            <w:r w:rsidRPr="00BE72F6">
              <w:rPr>
                <w:rFonts w:ascii="Times New Roman" w:eastAsia="Times New Roman" w:hAnsi="Times New Roman" w:cs="Times New Roman"/>
                <w:color w:val="000000"/>
                <w:sz w:val="18"/>
                <w:szCs w:val="18"/>
                <w:lang w:val="es-MX" w:eastAsia="es-MX"/>
              </w:rPr>
              <w:t>Total</w:t>
            </w:r>
          </w:p>
        </w:tc>
      </w:tr>
      <w:tr w:rsidR="00F752F4" w:rsidRPr="00BE72F6" w14:paraId="339C5F4E" w14:textId="77777777" w:rsidTr="00DC357A">
        <w:trPr>
          <w:trHeight w:val="315"/>
          <w:jc w:val="center"/>
        </w:trPr>
        <w:tc>
          <w:tcPr>
            <w:tcW w:w="1276" w:type="dxa"/>
            <w:noWrap/>
            <w:vAlign w:val="bottom"/>
          </w:tcPr>
          <w:p w14:paraId="5F36F91F" w14:textId="77777777" w:rsidR="00F752F4" w:rsidRPr="00BE72F6" w:rsidRDefault="00F752F4" w:rsidP="00BF232D">
            <w:pPr>
              <w:spacing w:after="0" w:line="240" w:lineRule="auto"/>
              <w:jc w:val="center"/>
              <w:rPr>
                <w:rFonts w:ascii="Times New Roman" w:eastAsia="Times New Roman" w:hAnsi="Times New Roman" w:cs="Times New Roman"/>
                <w:color w:val="000000"/>
                <w:sz w:val="18"/>
                <w:szCs w:val="18"/>
                <w:lang w:val="es-MX" w:eastAsia="es-MX"/>
              </w:rPr>
            </w:pPr>
            <w:r w:rsidRPr="00BE72F6">
              <w:rPr>
                <w:rFonts w:ascii="Times New Roman" w:eastAsia="Times New Roman" w:hAnsi="Times New Roman" w:cs="Times New Roman"/>
                <w:color w:val="000000"/>
                <w:sz w:val="18"/>
                <w:szCs w:val="18"/>
                <w:lang w:val="es-MX" w:eastAsia="es-MX"/>
              </w:rPr>
              <w:t>0-18</w:t>
            </w:r>
          </w:p>
        </w:tc>
        <w:tc>
          <w:tcPr>
            <w:tcW w:w="1418" w:type="dxa"/>
            <w:noWrap/>
            <w:vAlign w:val="bottom"/>
          </w:tcPr>
          <w:p w14:paraId="5AFFFD17" w14:textId="77777777" w:rsidR="00F752F4" w:rsidRPr="00BE72F6" w:rsidRDefault="00F752F4" w:rsidP="00BF232D">
            <w:pPr>
              <w:spacing w:after="0" w:line="240" w:lineRule="auto"/>
              <w:jc w:val="center"/>
              <w:rPr>
                <w:rFonts w:ascii="Times New Roman" w:eastAsia="Times New Roman" w:hAnsi="Times New Roman" w:cs="Times New Roman"/>
                <w:color w:val="000000"/>
                <w:sz w:val="18"/>
                <w:szCs w:val="18"/>
                <w:lang w:val="es-MX" w:eastAsia="es-MX"/>
              </w:rPr>
            </w:pPr>
            <w:r w:rsidRPr="00BE72F6">
              <w:rPr>
                <w:rFonts w:ascii="Times New Roman" w:eastAsia="Times New Roman" w:hAnsi="Times New Roman" w:cs="Times New Roman"/>
                <w:color w:val="000000"/>
                <w:sz w:val="18"/>
                <w:szCs w:val="18"/>
                <w:lang w:val="es-MX" w:eastAsia="es-MX"/>
              </w:rPr>
              <w:t>30</w:t>
            </w:r>
          </w:p>
        </w:tc>
        <w:tc>
          <w:tcPr>
            <w:tcW w:w="1177" w:type="dxa"/>
            <w:noWrap/>
            <w:vAlign w:val="bottom"/>
          </w:tcPr>
          <w:p w14:paraId="299D4B9A" w14:textId="77777777" w:rsidR="00F752F4" w:rsidRPr="00BE72F6" w:rsidRDefault="00F752F4" w:rsidP="00BF232D">
            <w:pPr>
              <w:spacing w:after="0" w:line="240" w:lineRule="auto"/>
              <w:jc w:val="center"/>
              <w:rPr>
                <w:rFonts w:ascii="Times New Roman" w:eastAsia="Times New Roman" w:hAnsi="Times New Roman" w:cs="Times New Roman"/>
                <w:color w:val="000000"/>
                <w:sz w:val="18"/>
                <w:szCs w:val="18"/>
                <w:lang w:val="es-MX" w:eastAsia="es-MX"/>
              </w:rPr>
            </w:pPr>
            <w:r w:rsidRPr="00BE72F6">
              <w:rPr>
                <w:rFonts w:ascii="Times New Roman" w:eastAsia="Times New Roman" w:hAnsi="Times New Roman" w:cs="Times New Roman"/>
                <w:color w:val="000000"/>
                <w:sz w:val="18"/>
                <w:szCs w:val="18"/>
                <w:lang w:val="es-MX" w:eastAsia="es-MX"/>
              </w:rPr>
              <w:t>14</w:t>
            </w:r>
          </w:p>
        </w:tc>
        <w:tc>
          <w:tcPr>
            <w:tcW w:w="1369" w:type="dxa"/>
            <w:noWrap/>
            <w:vAlign w:val="bottom"/>
          </w:tcPr>
          <w:p w14:paraId="126A0A2C" w14:textId="77777777" w:rsidR="00F752F4" w:rsidRPr="00BE72F6" w:rsidRDefault="00F752F4" w:rsidP="00BF232D">
            <w:pPr>
              <w:spacing w:after="0" w:line="240" w:lineRule="auto"/>
              <w:jc w:val="center"/>
              <w:rPr>
                <w:rFonts w:ascii="Times New Roman" w:eastAsia="Times New Roman" w:hAnsi="Times New Roman" w:cs="Times New Roman"/>
                <w:color w:val="000000"/>
                <w:sz w:val="18"/>
                <w:szCs w:val="18"/>
                <w:lang w:val="es-MX" w:eastAsia="es-MX"/>
              </w:rPr>
            </w:pPr>
            <w:r w:rsidRPr="00BE72F6">
              <w:rPr>
                <w:rFonts w:ascii="Times New Roman" w:eastAsia="Times New Roman" w:hAnsi="Times New Roman" w:cs="Times New Roman"/>
                <w:color w:val="000000"/>
                <w:sz w:val="18"/>
                <w:szCs w:val="18"/>
                <w:lang w:val="es-MX" w:eastAsia="es-MX"/>
              </w:rPr>
              <w:t>44 (</w:t>
            </w:r>
            <w:proofErr w:type="gramStart"/>
            <w:r w:rsidRPr="00BE72F6">
              <w:rPr>
                <w:rFonts w:ascii="Times New Roman" w:eastAsia="Times New Roman" w:hAnsi="Times New Roman" w:cs="Times New Roman"/>
                <w:color w:val="000000"/>
                <w:sz w:val="18"/>
                <w:szCs w:val="18"/>
                <w:lang w:val="es-MX" w:eastAsia="es-MX"/>
              </w:rPr>
              <w:t>68.7)*</w:t>
            </w:r>
            <w:proofErr w:type="gramEnd"/>
          </w:p>
        </w:tc>
        <w:tc>
          <w:tcPr>
            <w:tcW w:w="164" w:type="dxa"/>
          </w:tcPr>
          <w:p w14:paraId="0914E872" w14:textId="77777777" w:rsidR="00F752F4" w:rsidRPr="00BE72F6" w:rsidRDefault="00F752F4" w:rsidP="00BF232D">
            <w:pPr>
              <w:spacing w:after="0" w:line="240" w:lineRule="auto"/>
              <w:jc w:val="center"/>
              <w:rPr>
                <w:rFonts w:ascii="Times New Roman" w:eastAsia="Times New Roman" w:hAnsi="Times New Roman" w:cs="Times New Roman"/>
                <w:color w:val="000000"/>
                <w:sz w:val="18"/>
                <w:szCs w:val="18"/>
                <w:lang w:val="es-MX" w:eastAsia="es-MX"/>
              </w:rPr>
            </w:pPr>
          </w:p>
        </w:tc>
        <w:tc>
          <w:tcPr>
            <w:tcW w:w="1542" w:type="dxa"/>
            <w:noWrap/>
            <w:vAlign w:val="bottom"/>
          </w:tcPr>
          <w:p w14:paraId="02260235" w14:textId="77777777" w:rsidR="00F752F4" w:rsidRPr="00BE72F6" w:rsidRDefault="00F752F4" w:rsidP="00BF232D">
            <w:pPr>
              <w:spacing w:after="0" w:line="240" w:lineRule="auto"/>
              <w:jc w:val="center"/>
              <w:rPr>
                <w:rFonts w:ascii="Times New Roman" w:eastAsia="Times New Roman" w:hAnsi="Times New Roman" w:cs="Times New Roman"/>
                <w:color w:val="000000"/>
                <w:sz w:val="18"/>
                <w:szCs w:val="18"/>
                <w:lang w:val="es-MX" w:eastAsia="es-MX"/>
              </w:rPr>
            </w:pPr>
            <w:r w:rsidRPr="00BE72F6">
              <w:rPr>
                <w:rFonts w:ascii="Times New Roman" w:eastAsia="Times New Roman" w:hAnsi="Times New Roman" w:cs="Times New Roman"/>
                <w:color w:val="000000"/>
                <w:sz w:val="18"/>
                <w:szCs w:val="18"/>
                <w:lang w:val="es-MX" w:eastAsia="es-MX"/>
              </w:rPr>
              <w:t>77</w:t>
            </w:r>
          </w:p>
        </w:tc>
        <w:tc>
          <w:tcPr>
            <w:tcW w:w="992" w:type="dxa"/>
            <w:noWrap/>
            <w:vAlign w:val="bottom"/>
          </w:tcPr>
          <w:p w14:paraId="072F65DA" w14:textId="77777777" w:rsidR="00F752F4" w:rsidRPr="00BE72F6" w:rsidRDefault="00F752F4" w:rsidP="00BF232D">
            <w:pPr>
              <w:spacing w:after="0" w:line="240" w:lineRule="auto"/>
              <w:jc w:val="center"/>
              <w:rPr>
                <w:rFonts w:ascii="Times New Roman" w:eastAsia="Times New Roman" w:hAnsi="Times New Roman" w:cs="Times New Roman"/>
                <w:color w:val="000000"/>
                <w:sz w:val="18"/>
                <w:szCs w:val="18"/>
                <w:lang w:val="es-MX" w:eastAsia="es-MX"/>
              </w:rPr>
            </w:pPr>
            <w:r w:rsidRPr="00BE72F6">
              <w:rPr>
                <w:rFonts w:ascii="Times New Roman" w:eastAsia="Times New Roman" w:hAnsi="Times New Roman" w:cs="Times New Roman"/>
                <w:color w:val="000000"/>
                <w:sz w:val="18"/>
                <w:szCs w:val="18"/>
                <w:lang w:val="es-MX" w:eastAsia="es-MX"/>
              </w:rPr>
              <w:t>69</w:t>
            </w:r>
          </w:p>
        </w:tc>
        <w:tc>
          <w:tcPr>
            <w:tcW w:w="1418" w:type="dxa"/>
            <w:vAlign w:val="bottom"/>
          </w:tcPr>
          <w:p w14:paraId="40631152" w14:textId="77777777" w:rsidR="00F752F4" w:rsidRPr="00BE72F6" w:rsidRDefault="00F752F4" w:rsidP="00BF232D">
            <w:pPr>
              <w:spacing w:after="0" w:line="240" w:lineRule="auto"/>
              <w:jc w:val="center"/>
              <w:rPr>
                <w:rFonts w:ascii="Times New Roman" w:eastAsia="Times New Roman" w:hAnsi="Times New Roman" w:cs="Times New Roman"/>
                <w:color w:val="000000"/>
                <w:sz w:val="18"/>
                <w:szCs w:val="18"/>
                <w:lang w:val="es-MX" w:eastAsia="es-MX"/>
              </w:rPr>
            </w:pPr>
            <w:r w:rsidRPr="00BE72F6">
              <w:rPr>
                <w:rFonts w:ascii="Times New Roman" w:eastAsia="Times New Roman" w:hAnsi="Times New Roman" w:cs="Times New Roman"/>
                <w:color w:val="000000"/>
                <w:sz w:val="18"/>
                <w:szCs w:val="18"/>
                <w:lang w:val="es-MX" w:eastAsia="es-MX"/>
              </w:rPr>
              <w:t>146 (</w:t>
            </w:r>
            <w:proofErr w:type="gramStart"/>
            <w:r w:rsidRPr="00BE72F6">
              <w:rPr>
                <w:rFonts w:ascii="Times New Roman" w:eastAsia="Times New Roman" w:hAnsi="Times New Roman" w:cs="Times New Roman"/>
                <w:color w:val="000000"/>
                <w:sz w:val="18"/>
                <w:szCs w:val="18"/>
                <w:lang w:val="es-MX" w:eastAsia="es-MX"/>
              </w:rPr>
              <w:t>63.4)*</w:t>
            </w:r>
            <w:proofErr w:type="gramEnd"/>
            <w:r w:rsidRPr="00BE72F6">
              <w:rPr>
                <w:rFonts w:ascii="Times New Roman" w:eastAsia="Times New Roman" w:hAnsi="Times New Roman" w:cs="Times New Roman"/>
                <w:color w:val="000000"/>
                <w:sz w:val="18"/>
                <w:szCs w:val="18"/>
                <w:lang w:val="es-MX" w:eastAsia="es-MX"/>
              </w:rPr>
              <w:t xml:space="preserve"> </w:t>
            </w:r>
          </w:p>
        </w:tc>
      </w:tr>
      <w:tr w:rsidR="00F752F4" w:rsidRPr="00BE72F6" w14:paraId="5FDB5D24" w14:textId="77777777" w:rsidTr="00DC357A">
        <w:trPr>
          <w:trHeight w:val="315"/>
          <w:jc w:val="center"/>
        </w:trPr>
        <w:tc>
          <w:tcPr>
            <w:tcW w:w="1276" w:type="dxa"/>
            <w:noWrap/>
            <w:vAlign w:val="bottom"/>
          </w:tcPr>
          <w:p w14:paraId="11010CCE" w14:textId="77777777" w:rsidR="00F752F4" w:rsidRPr="00BE72F6" w:rsidRDefault="00F752F4" w:rsidP="00BF232D">
            <w:pPr>
              <w:spacing w:after="0" w:line="240" w:lineRule="auto"/>
              <w:jc w:val="center"/>
              <w:rPr>
                <w:rFonts w:ascii="Times New Roman" w:eastAsia="Times New Roman" w:hAnsi="Times New Roman" w:cs="Times New Roman"/>
                <w:color w:val="000000"/>
                <w:sz w:val="18"/>
                <w:szCs w:val="18"/>
                <w:lang w:val="es-MX" w:eastAsia="es-MX"/>
              </w:rPr>
            </w:pPr>
            <w:r w:rsidRPr="00BE72F6">
              <w:rPr>
                <w:rFonts w:ascii="Times New Roman" w:eastAsia="Times New Roman" w:hAnsi="Times New Roman" w:cs="Times New Roman"/>
                <w:color w:val="000000"/>
                <w:sz w:val="18"/>
                <w:szCs w:val="18"/>
                <w:lang w:val="es-MX" w:eastAsia="es-MX"/>
              </w:rPr>
              <w:t>+19</w:t>
            </w:r>
          </w:p>
        </w:tc>
        <w:tc>
          <w:tcPr>
            <w:tcW w:w="1418" w:type="dxa"/>
            <w:noWrap/>
            <w:vAlign w:val="bottom"/>
          </w:tcPr>
          <w:p w14:paraId="7054E9AA" w14:textId="77777777" w:rsidR="00F752F4" w:rsidRPr="00BE72F6" w:rsidRDefault="00F752F4" w:rsidP="00BF232D">
            <w:pPr>
              <w:spacing w:after="0" w:line="240" w:lineRule="auto"/>
              <w:jc w:val="center"/>
              <w:rPr>
                <w:rFonts w:ascii="Times New Roman" w:eastAsia="Times New Roman" w:hAnsi="Times New Roman" w:cs="Times New Roman"/>
                <w:color w:val="000000"/>
                <w:sz w:val="18"/>
                <w:szCs w:val="18"/>
                <w:lang w:val="es-MX" w:eastAsia="es-MX"/>
              </w:rPr>
            </w:pPr>
            <w:r w:rsidRPr="00BE72F6">
              <w:rPr>
                <w:rFonts w:ascii="Times New Roman" w:eastAsia="Times New Roman" w:hAnsi="Times New Roman" w:cs="Times New Roman"/>
                <w:color w:val="000000"/>
                <w:sz w:val="18"/>
                <w:szCs w:val="18"/>
                <w:lang w:val="es-MX" w:eastAsia="es-MX"/>
              </w:rPr>
              <w:t>13</w:t>
            </w:r>
          </w:p>
        </w:tc>
        <w:tc>
          <w:tcPr>
            <w:tcW w:w="1177" w:type="dxa"/>
            <w:noWrap/>
            <w:vAlign w:val="bottom"/>
          </w:tcPr>
          <w:p w14:paraId="04950CC2" w14:textId="77777777" w:rsidR="00F752F4" w:rsidRPr="00BE72F6" w:rsidRDefault="00F752F4" w:rsidP="00BF232D">
            <w:pPr>
              <w:spacing w:after="0" w:line="240" w:lineRule="auto"/>
              <w:jc w:val="center"/>
              <w:rPr>
                <w:rFonts w:ascii="Times New Roman" w:eastAsia="Times New Roman" w:hAnsi="Times New Roman" w:cs="Times New Roman"/>
                <w:color w:val="000000"/>
                <w:sz w:val="18"/>
                <w:szCs w:val="18"/>
                <w:lang w:val="es-MX" w:eastAsia="es-MX"/>
              </w:rPr>
            </w:pPr>
            <w:r w:rsidRPr="00BE72F6">
              <w:rPr>
                <w:rFonts w:ascii="Times New Roman" w:eastAsia="Times New Roman" w:hAnsi="Times New Roman" w:cs="Times New Roman"/>
                <w:color w:val="000000"/>
                <w:sz w:val="18"/>
                <w:szCs w:val="18"/>
                <w:lang w:val="es-MX" w:eastAsia="es-MX"/>
              </w:rPr>
              <w:t>7</w:t>
            </w:r>
          </w:p>
        </w:tc>
        <w:tc>
          <w:tcPr>
            <w:tcW w:w="1369" w:type="dxa"/>
            <w:noWrap/>
            <w:vAlign w:val="bottom"/>
          </w:tcPr>
          <w:p w14:paraId="65171477" w14:textId="77777777" w:rsidR="00F752F4" w:rsidRPr="00BE72F6" w:rsidRDefault="00F752F4" w:rsidP="00BF232D">
            <w:pPr>
              <w:spacing w:after="0" w:line="240" w:lineRule="auto"/>
              <w:jc w:val="center"/>
              <w:rPr>
                <w:rFonts w:ascii="Times New Roman" w:eastAsia="Times New Roman" w:hAnsi="Times New Roman" w:cs="Times New Roman"/>
                <w:color w:val="000000"/>
                <w:sz w:val="18"/>
                <w:szCs w:val="18"/>
                <w:lang w:val="es-MX" w:eastAsia="es-MX"/>
              </w:rPr>
            </w:pPr>
            <w:r w:rsidRPr="00BE72F6">
              <w:rPr>
                <w:rFonts w:ascii="Times New Roman" w:eastAsia="Times New Roman" w:hAnsi="Times New Roman" w:cs="Times New Roman"/>
                <w:color w:val="000000"/>
                <w:sz w:val="18"/>
                <w:szCs w:val="18"/>
                <w:lang w:val="es-MX" w:eastAsia="es-MX"/>
              </w:rPr>
              <w:t xml:space="preserve">20 </w:t>
            </w:r>
          </w:p>
        </w:tc>
        <w:tc>
          <w:tcPr>
            <w:tcW w:w="164" w:type="dxa"/>
          </w:tcPr>
          <w:p w14:paraId="4178F697" w14:textId="77777777" w:rsidR="00F752F4" w:rsidRPr="00BE72F6" w:rsidRDefault="00F752F4" w:rsidP="00BF232D">
            <w:pPr>
              <w:spacing w:after="0" w:line="240" w:lineRule="auto"/>
              <w:jc w:val="center"/>
              <w:rPr>
                <w:rFonts w:ascii="Times New Roman" w:eastAsia="Times New Roman" w:hAnsi="Times New Roman" w:cs="Times New Roman"/>
                <w:color w:val="000000"/>
                <w:sz w:val="18"/>
                <w:szCs w:val="18"/>
                <w:lang w:val="es-MX" w:eastAsia="es-MX"/>
              </w:rPr>
            </w:pPr>
          </w:p>
        </w:tc>
        <w:tc>
          <w:tcPr>
            <w:tcW w:w="1542" w:type="dxa"/>
            <w:noWrap/>
            <w:vAlign w:val="bottom"/>
          </w:tcPr>
          <w:p w14:paraId="5898E522" w14:textId="77777777" w:rsidR="00F752F4" w:rsidRPr="00BE72F6" w:rsidRDefault="00F752F4" w:rsidP="00BF232D">
            <w:pPr>
              <w:spacing w:after="0" w:line="240" w:lineRule="auto"/>
              <w:jc w:val="center"/>
              <w:rPr>
                <w:rFonts w:ascii="Times New Roman" w:eastAsia="Times New Roman" w:hAnsi="Times New Roman" w:cs="Times New Roman"/>
                <w:color w:val="000000"/>
                <w:sz w:val="18"/>
                <w:szCs w:val="18"/>
                <w:lang w:val="es-MX" w:eastAsia="es-MX"/>
              </w:rPr>
            </w:pPr>
            <w:r w:rsidRPr="00BE72F6">
              <w:rPr>
                <w:rFonts w:ascii="Times New Roman" w:eastAsia="Times New Roman" w:hAnsi="Times New Roman" w:cs="Times New Roman"/>
                <w:color w:val="000000"/>
                <w:sz w:val="18"/>
                <w:szCs w:val="18"/>
                <w:lang w:val="es-MX" w:eastAsia="es-MX"/>
              </w:rPr>
              <w:t>46</w:t>
            </w:r>
          </w:p>
        </w:tc>
        <w:tc>
          <w:tcPr>
            <w:tcW w:w="992" w:type="dxa"/>
            <w:noWrap/>
            <w:vAlign w:val="bottom"/>
          </w:tcPr>
          <w:p w14:paraId="7C9B20DD" w14:textId="77777777" w:rsidR="00F752F4" w:rsidRPr="00BE72F6" w:rsidRDefault="00F752F4" w:rsidP="00BF232D">
            <w:pPr>
              <w:spacing w:after="0" w:line="240" w:lineRule="auto"/>
              <w:jc w:val="center"/>
              <w:rPr>
                <w:rFonts w:ascii="Times New Roman" w:eastAsia="Times New Roman" w:hAnsi="Times New Roman" w:cs="Times New Roman"/>
                <w:color w:val="000000"/>
                <w:sz w:val="18"/>
                <w:szCs w:val="18"/>
                <w:lang w:val="es-MX" w:eastAsia="es-MX"/>
              </w:rPr>
            </w:pPr>
            <w:r w:rsidRPr="00BE72F6">
              <w:rPr>
                <w:rFonts w:ascii="Times New Roman" w:eastAsia="Times New Roman" w:hAnsi="Times New Roman" w:cs="Times New Roman"/>
                <w:color w:val="000000"/>
                <w:sz w:val="18"/>
                <w:szCs w:val="18"/>
                <w:lang w:val="es-MX" w:eastAsia="es-MX"/>
              </w:rPr>
              <w:t>38</w:t>
            </w:r>
          </w:p>
        </w:tc>
        <w:tc>
          <w:tcPr>
            <w:tcW w:w="1418" w:type="dxa"/>
            <w:vAlign w:val="bottom"/>
          </w:tcPr>
          <w:p w14:paraId="6648C47B" w14:textId="77777777" w:rsidR="00F752F4" w:rsidRPr="00BE72F6" w:rsidRDefault="00F752F4" w:rsidP="00BF232D">
            <w:pPr>
              <w:spacing w:after="0" w:line="240" w:lineRule="auto"/>
              <w:jc w:val="center"/>
              <w:rPr>
                <w:rFonts w:ascii="Times New Roman" w:eastAsia="Times New Roman" w:hAnsi="Times New Roman" w:cs="Times New Roman"/>
                <w:color w:val="000000"/>
                <w:sz w:val="18"/>
                <w:szCs w:val="18"/>
                <w:lang w:val="es-MX" w:eastAsia="es-MX"/>
              </w:rPr>
            </w:pPr>
          </w:p>
          <w:p w14:paraId="10A688D0" w14:textId="77777777" w:rsidR="00F752F4" w:rsidRPr="00BE72F6" w:rsidRDefault="00F752F4" w:rsidP="00BF232D">
            <w:pPr>
              <w:spacing w:after="0" w:line="240" w:lineRule="auto"/>
              <w:jc w:val="center"/>
              <w:rPr>
                <w:rFonts w:ascii="Times New Roman" w:eastAsia="Times New Roman" w:hAnsi="Times New Roman" w:cs="Times New Roman"/>
                <w:color w:val="000000"/>
                <w:sz w:val="18"/>
                <w:szCs w:val="18"/>
                <w:lang w:val="es-MX" w:eastAsia="es-MX"/>
              </w:rPr>
            </w:pPr>
            <w:r w:rsidRPr="00BE72F6">
              <w:rPr>
                <w:rFonts w:ascii="Times New Roman" w:eastAsia="Times New Roman" w:hAnsi="Times New Roman" w:cs="Times New Roman"/>
                <w:color w:val="000000"/>
                <w:sz w:val="18"/>
                <w:szCs w:val="18"/>
                <w:lang w:val="es-MX" w:eastAsia="es-MX"/>
              </w:rPr>
              <w:t>84</w:t>
            </w:r>
          </w:p>
        </w:tc>
      </w:tr>
      <w:tr w:rsidR="00F752F4" w:rsidRPr="00BE72F6" w14:paraId="0F9494F5" w14:textId="77777777" w:rsidTr="00DC357A">
        <w:trPr>
          <w:trHeight w:val="315"/>
          <w:jc w:val="center"/>
        </w:trPr>
        <w:tc>
          <w:tcPr>
            <w:tcW w:w="1276" w:type="dxa"/>
            <w:tcBorders>
              <w:top w:val="double" w:sz="4" w:space="0" w:color="auto"/>
              <w:bottom w:val="double" w:sz="4" w:space="0" w:color="auto"/>
            </w:tcBorders>
            <w:noWrap/>
            <w:vAlign w:val="bottom"/>
            <w:hideMark/>
          </w:tcPr>
          <w:p w14:paraId="7D911626" w14:textId="77777777" w:rsidR="00F752F4" w:rsidRPr="00BE72F6" w:rsidRDefault="00F752F4" w:rsidP="00BF232D">
            <w:pPr>
              <w:spacing w:after="0" w:line="240" w:lineRule="auto"/>
              <w:jc w:val="center"/>
              <w:rPr>
                <w:rFonts w:ascii="Times New Roman" w:eastAsia="Times New Roman" w:hAnsi="Times New Roman" w:cs="Times New Roman"/>
                <w:color w:val="000000"/>
                <w:sz w:val="18"/>
                <w:szCs w:val="18"/>
                <w:lang w:val="es-MX" w:eastAsia="es-MX"/>
              </w:rPr>
            </w:pPr>
            <w:r w:rsidRPr="00BE72F6">
              <w:rPr>
                <w:rFonts w:ascii="Times New Roman" w:eastAsia="Times New Roman" w:hAnsi="Times New Roman" w:cs="Times New Roman"/>
                <w:color w:val="000000"/>
                <w:sz w:val="18"/>
                <w:szCs w:val="18"/>
                <w:lang w:val="es-MX" w:eastAsia="es-MX"/>
              </w:rPr>
              <w:t>Total</w:t>
            </w:r>
          </w:p>
        </w:tc>
        <w:tc>
          <w:tcPr>
            <w:tcW w:w="1418" w:type="dxa"/>
            <w:tcBorders>
              <w:top w:val="double" w:sz="4" w:space="0" w:color="auto"/>
              <w:bottom w:val="double" w:sz="4" w:space="0" w:color="auto"/>
            </w:tcBorders>
            <w:noWrap/>
            <w:vAlign w:val="bottom"/>
            <w:hideMark/>
          </w:tcPr>
          <w:p w14:paraId="420BBB79" w14:textId="77777777" w:rsidR="00F752F4" w:rsidRPr="00BE72F6" w:rsidRDefault="00F752F4" w:rsidP="00BF232D">
            <w:pPr>
              <w:spacing w:after="0" w:line="240" w:lineRule="auto"/>
              <w:jc w:val="center"/>
              <w:rPr>
                <w:rFonts w:ascii="Times New Roman" w:eastAsia="Times New Roman" w:hAnsi="Times New Roman" w:cs="Times New Roman"/>
                <w:color w:val="000000"/>
                <w:sz w:val="18"/>
                <w:szCs w:val="18"/>
                <w:lang w:val="es-MX" w:eastAsia="es-MX"/>
              </w:rPr>
            </w:pPr>
            <w:r w:rsidRPr="00BE72F6">
              <w:rPr>
                <w:rFonts w:ascii="Times New Roman" w:eastAsia="Times New Roman" w:hAnsi="Times New Roman" w:cs="Times New Roman"/>
                <w:color w:val="000000"/>
                <w:sz w:val="18"/>
                <w:szCs w:val="18"/>
                <w:lang w:val="es-MX" w:eastAsia="es-MX"/>
              </w:rPr>
              <w:t>43 (67.2)</w:t>
            </w:r>
          </w:p>
        </w:tc>
        <w:tc>
          <w:tcPr>
            <w:tcW w:w="1177" w:type="dxa"/>
            <w:tcBorders>
              <w:top w:val="double" w:sz="4" w:space="0" w:color="auto"/>
              <w:bottom w:val="double" w:sz="4" w:space="0" w:color="auto"/>
            </w:tcBorders>
            <w:noWrap/>
            <w:vAlign w:val="bottom"/>
            <w:hideMark/>
          </w:tcPr>
          <w:p w14:paraId="5723DA9C" w14:textId="77777777" w:rsidR="00F752F4" w:rsidRPr="00BE72F6" w:rsidRDefault="00F752F4" w:rsidP="00BF232D">
            <w:pPr>
              <w:spacing w:after="0" w:line="240" w:lineRule="auto"/>
              <w:jc w:val="center"/>
              <w:rPr>
                <w:rFonts w:ascii="Times New Roman" w:eastAsia="Times New Roman" w:hAnsi="Times New Roman" w:cs="Times New Roman"/>
                <w:color w:val="000000"/>
                <w:sz w:val="18"/>
                <w:szCs w:val="18"/>
                <w:lang w:val="es-MX" w:eastAsia="es-MX"/>
              </w:rPr>
            </w:pPr>
            <w:r w:rsidRPr="00BE72F6">
              <w:rPr>
                <w:rFonts w:ascii="Times New Roman" w:eastAsia="Times New Roman" w:hAnsi="Times New Roman" w:cs="Times New Roman"/>
                <w:color w:val="000000"/>
                <w:sz w:val="18"/>
                <w:szCs w:val="18"/>
                <w:lang w:val="es-MX" w:eastAsia="es-MX"/>
              </w:rPr>
              <w:t xml:space="preserve">21 </w:t>
            </w:r>
          </w:p>
        </w:tc>
        <w:tc>
          <w:tcPr>
            <w:tcW w:w="1369" w:type="dxa"/>
            <w:tcBorders>
              <w:top w:val="double" w:sz="4" w:space="0" w:color="auto"/>
              <w:bottom w:val="double" w:sz="4" w:space="0" w:color="auto"/>
            </w:tcBorders>
            <w:noWrap/>
            <w:vAlign w:val="bottom"/>
            <w:hideMark/>
          </w:tcPr>
          <w:p w14:paraId="158681B8" w14:textId="77777777" w:rsidR="00F752F4" w:rsidRPr="00BE72F6" w:rsidRDefault="00F752F4" w:rsidP="00BF232D">
            <w:pPr>
              <w:spacing w:after="0" w:line="240" w:lineRule="auto"/>
              <w:jc w:val="center"/>
              <w:rPr>
                <w:rFonts w:ascii="Times New Roman" w:eastAsia="Times New Roman" w:hAnsi="Times New Roman" w:cs="Times New Roman"/>
                <w:color w:val="000000"/>
                <w:sz w:val="18"/>
                <w:szCs w:val="18"/>
                <w:lang w:val="es-MX" w:eastAsia="es-MX"/>
              </w:rPr>
            </w:pPr>
            <w:r w:rsidRPr="00BE72F6">
              <w:rPr>
                <w:rFonts w:ascii="Times New Roman" w:eastAsia="Times New Roman" w:hAnsi="Times New Roman" w:cs="Times New Roman"/>
                <w:color w:val="000000"/>
                <w:sz w:val="18"/>
                <w:szCs w:val="18"/>
                <w:lang w:val="es-MX" w:eastAsia="es-MX"/>
              </w:rPr>
              <w:t>64 (100.0)</w:t>
            </w:r>
          </w:p>
        </w:tc>
        <w:tc>
          <w:tcPr>
            <w:tcW w:w="164" w:type="dxa"/>
            <w:tcBorders>
              <w:top w:val="double" w:sz="4" w:space="0" w:color="auto"/>
              <w:bottom w:val="double" w:sz="4" w:space="0" w:color="auto"/>
            </w:tcBorders>
          </w:tcPr>
          <w:p w14:paraId="642B2AA9" w14:textId="77777777" w:rsidR="00F752F4" w:rsidRPr="00BE72F6" w:rsidRDefault="00F752F4" w:rsidP="00BF232D">
            <w:pPr>
              <w:spacing w:after="0" w:line="240" w:lineRule="auto"/>
              <w:jc w:val="center"/>
              <w:rPr>
                <w:rFonts w:ascii="Times New Roman" w:eastAsia="Times New Roman" w:hAnsi="Times New Roman" w:cs="Times New Roman"/>
                <w:color w:val="000000"/>
                <w:sz w:val="18"/>
                <w:szCs w:val="18"/>
                <w:lang w:val="es-MX" w:eastAsia="es-MX"/>
              </w:rPr>
            </w:pPr>
          </w:p>
        </w:tc>
        <w:tc>
          <w:tcPr>
            <w:tcW w:w="1542" w:type="dxa"/>
            <w:tcBorders>
              <w:top w:val="double" w:sz="4" w:space="0" w:color="auto"/>
              <w:bottom w:val="double" w:sz="4" w:space="0" w:color="auto"/>
            </w:tcBorders>
            <w:noWrap/>
            <w:vAlign w:val="bottom"/>
            <w:hideMark/>
          </w:tcPr>
          <w:p w14:paraId="671085C9" w14:textId="77777777" w:rsidR="00F752F4" w:rsidRPr="00BE72F6" w:rsidRDefault="00F752F4" w:rsidP="00BF232D">
            <w:pPr>
              <w:spacing w:after="0" w:line="240" w:lineRule="auto"/>
              <w:jc w:val="center"/>
              <w:rPr>
                <w:rFonts w:ascii="Times New Roman" w:eastAsia="Times New Roman" w:hAnsi="Times New Roman" w:cs="Times New Roman"/>
                <w:color w:val="000000"/>
                <w:sz w:val="18"/>
                <w:szCs w:val="18"/>
                <w:lang w:val="es-MX" w:eastAsia="es-MX"/>
              </w:rPr>
            </w:pPr>
            <w:r w:rsidRPr="00BE72F6">
              <w:rPr>
                <w:rFonts w:ascii="Times New Roman" w:eastAsia="Times New Roman" w:hAnsi="Times New Roman" w:cs="Times New Roman"/>
                <w:color w:val="000000"/>
                <w:sz w:val="18"/>
                <w:szCs w:val="18"/>
                <w:lang w:val="es-MX" w:eastAsia="es-MX"/>
              </w:rPr>
              <w:t>123 (53.5)</w:t>
            </w:r>
          </w:p>
        </w:tc>
        <w:tc>
          <w:tcPr>
            <w:tcW w:w="992" w:type="dxa"/>
            <w:tcBorders>
              <w:top w:val="double" w:sz="4" w:space="0" w:color="auto"/>
              <w:bottom w:val="double" w:sz="4" w:space="0" w:color="auto"/>
            </w:tcBorders>
            <w:noWrap/>
            <w:vAlign w:val="bottom"/>
            <w:hideMark/>
          </w:tcPr>
          <w:p w14:paraId="7FE95B8A" w14:textId="77777777" w:rsidR="00F752F4" w:rsidRPr="00BE72F6" w:rsidRDefault="00F752F4" w:rsidP="00BF232D">
            <w:pPr>
              <w:spacing w:after="0" w:line="240" w:lineRule="auto"/>
              <w:jc w:val="center"/>
              <w:rPr>
                <w:rFonts w:ascii="Times New Roman" w:eastAsia="Times New Roman" w:hAnsi="Times New Roman" w:cs="Times New Roman"/>
                <w:color w:val="000000"/>
                <w:sz w:val="18"/>
                <w:szCs w:val="18"/>
                <w:lang w:val="es-MX" w:eastAsia="es-MX"/>
              </w:rPr>
            </w:pPr>
            <w:r w:rsidRPr="00BE72F6">
              <w:rPr>
                <w:rFonts w:ascii="Times New Roman" w:eastAsia="Times New Roman" w:hAnsi="Times New Roman" w:cs="Times New Roman"/>
                <w:color w:val="000000"/>
                <w:sz w:val="18"/>
                <w:szCs w:val="18"/>
                <w:lang w:val="es-MX" w:eastAsia="es-MX"/>
              </w:rPr>
              <w:t>107</w:t>
            </w:r>
          </w:p>
        </w:tc>
        <w:tc>
          <w:tcPr>
            <w:tcW w:w="1418" w:type="dxa"/>
            <w:tcBorders>
              <w:top w:val="double" w:sz="4" w:space="0" w:color="auto"/>
              <w:bottom w:val="double" w:sz="4" w:space="0" w:color="auto"/>
            </w:tcBorders>
            <w:vAlign w:val="bottom"/>
            <w:hideMark/>
          </w:tcPr>
          <w:p w14:paraId="3669B013" w14:textId="77777777" w:rsidR="00F752F4" w:rsidRPr="00BE72F6" w:rsidRDefault="00F752F4" w:rsidP="00BF232D">
            <w:pPr>
              <w:spacing w:after="0" w:line="240" w:lineRule="auto"/>
              <w:jc w:val="center"/>
              <w:rPr>
                <w:rFonts w:ascii="Times New Roman" w:eastAsia="Times New Roman" w:hAnsi="Times New Roman" w:cs="Times New Roman"/>
                <w:color w:val="000000"/>
                <w:sz w:val="18"/>
                <w:szCs w:val="18"/>
                <w:lang w:val="es-MX" w:eastAsia="es-MX"/>
              </w:rPr>
            </w:pPr>
            <w:r w:rsidRPr="00BE72F6">
              <w:rPr>
                <w:rFonts w:ascii="Times New Roman" w:eastAsia="Times New Roman" w:hAnsi="Times New Roman" w:cs="Times New Roman"/>
                <w:color w:val="000000"/>
                <w:sz w:val="18"/>
                <w:szCs w:val="18"/>
                <w:lang w:val="es-MX" w:eastAsia="es-MX"/>
              </w:rPr>
              <w:t>230 (100.0)</w:t>
            </w:r>
          </w:p>
        </w:tc>
      </w:tr>
      <w:tr w:rsidR="00A264C8" w:rsidRPr="00716B77" w14:paraId="6EF93400" w14:textId="77777777" w:rsidTr="00D45F62">
        <w:trPr>
          <w:trHeight w:val="315"/>
          <w:jc w:val="center"/>
        </w:trPr>
        <w:tc>
          <w:tcPr>
            <w:tcW w:w="9356" w:type="dxa"/>
            <w:gridSpan w:val="8"/>
            <w:tcBorders>
              <w:top w:val="double" w:sz="4" w:space="0" w:color="auto"/>
            </w:tcBorders>
          </w:tcPr>
          <w:p w14:paraId="2CD47E2C" w14:textId="77777777" w:rsidR="00A264C8" w:rsidRPr="00BE72F6" w:rsidRDefault="00A264C8" w:rsidP="00BF232D">
            <w:pPr>
              <w:spacing w:after="0" w:line="240" w:lineRule="auto"/>
              <w:rPr>
                <w:rFonts w:ascii="Times New Roman" w:eastAsia="Times New Roman" w:hAnsi="Times New Roman" w:cs="Times New Roman"/>
                <w:color w:val="000000"/>
                <w:sz w:val="18"/>
                <w:szCs w:val="18"/>
                <w:lang w:val="es-MX" w:eastAsia="es-MX"/>
              </w:rPr>
            </w:pPr>
            <w:r w:rsidRPr="00BE72F6">
              <w:rPr>
                <w:rFonts w:ascii="Times New Roman" w:eastAsia="Aptos" w:hAnsi="Times New Roman" w:cs="Times New Roman"/>
                <w:color w:val="000000"/>
                <w:kern w:val="2"/>
                <w:sz w:val="18"/>
                <w:szCs w:val="18"/>
                <w:lang w:val="es-MX" w:eastAsia="zh-CN"/>
                <w14:ligatures w14:val="standardContextual"/>
              </w:rPr>
              <w:t>Fuente: Datos de proyecto piloto de vigilancia centinela</w:t>
            </w:r>
          </w:p>
        </w:tc>
      </w:tr>
    </w:tbl>
    <w:p w14:paraId="694CD1EB" w14:textId="77777777" w:rsidR="00F752F4" w:rsidRPr="00BE72F6" w:rsidRDefault="00F752F4" w:rsidP="008D026B">
      <w:pPr>
        <w:spacing w:after="0" w:line="240" w:lineRule="auto"/>
        <w:ind w:left="426"/>
        <w:rPr>
          <w:rFonts w:ascii="Times New Roman" w:eastAsia="DengXian" w:hAnsi="Times New Roman" w:cs="Times New Roman"/>
          <w:kern w:val="2"/>
          <w:sz w:val="20"/>
          <w:szCs w:val="20"/>
          <w:lang w:val="es-MX" w:eastAsia="zh-CN"/>
          <w14:ligatures w14:val="standardContextual"/>
        </w:rPr>
      </w:pPr>
      <w:r w:rsidRPr="00BE72F6">
        <w:rPr>
          <w:rFonts w:ascii="Times New Roman" w:eastAsia="DengXian" w:hAnsi="Times New Roman" w:cs="Times New Roman"/>
          <w:kern w:val="2"/>
          <w:sz w:val="20"/>
          <w:szCs w:val="20"/>
          <w:lang w:val="es-MX" w:eastAsia="zh-CN"/>
          <w14:ligatures w14:val="standardContextual"/>
        </w:rPr>
        <w:t xml:space="preserve">*valor de </w:t>
      </w:r>
      <w:r w:rsidRPr="00BE72F6">
        <w:rPr>
          <w:rFonts w:ascii="Times New Roman" w:eastAsia="DengXian" w:hAnsi="Times New Roman" w:cs="Times New Roman"/>
          <w:i/>
          <w:iCs/>
          <w:kern w:val="2"/>
          <w:sz w:val="20"/>
          <w:szCs w:val="20"/>
          <w:lang w:val="es-MX" w:eastAsia="zh-CN"/>
          <w14:ligatures w14:val="standardContextual"/>
        </w:rPr>
        <w:t>P</w:t>
      </w:r>
      <w:r w:rsidRPr="00BE72F6">
        <w:rPr>
          <w:rFonts w:ascii="Times New Roman" w:eastAsia="DengXian" w:hAnsi="Times New Roman" w:cs="Times New Roman"/>
          <w:kern w:val="2"/>
          <w:sz w:val="20"/>
          <w:szCs w:val="20"/>
          <w:lang w:val="es-MX" w:eastAsia="zh-CN"/>
          <w14:ligatures w14:val="standardContextual"/>
        </w:rPr>
        <w:t xml:space="preserve"> de chi cuadrada (si no hay diferencias) = 0.4; valor de</w:t>
      </w:r>
      <w:r w:rsidRPr="00BE72F6">
        <w:rPr>
          <w:rFonts w:ascii="Times New Roman" w:eastAsia="DengXian" w:hAnsi="Times New Roman" w:cs="Times New Roman"/>
          <w:i/>
          <w:iCs/>
          <w:kern w:val="2"/>
          <w:sz w:val="20"/>
          <w:szCs w:val="20"/>
          <w:lang w:val="es-MX" w:eastAsia="zh-CN"/>
          <w14:ligatures w14:val="standardContextual"/>
        </w:rPr>
        <w:t xml:space="preserve"> P</w:t>
      </w:r>
      <w:r w:rsidRPr="00BE72F6">
        <w:rPr>
          <w:rFonts w:ascii="Times New Roman" w:eastAsia="DengXian" w:hAnsi="Times New Roman" w:cs="Times New Roman"/>
          <w:kern w:val="2"/>
          <w:sz w:val="20"/>
          <w:szCs w:val="20"/>
          <w:lang w:val="es-MX" w:eastAsia="zh-CN"/>
          <w14:ligatures w14:val="standardContextual"/>
        </w:rPr>
        <w:t xml:space="preserve"> de equivalencia del 10% =0.2</w:t>
      </w:r>
    </w:p>
    <w:p w14:paraId="431E1031" w14:textId="77777777" w:rsidR="00F752F4" w:rsidRPr="00BE72F6" w:rsidRDefault="00F752F4" w:rsidP="008D026B">
      <w:pPr>
        <w:spacing w:line="240" w:lineRule="auto"/>
        <w:ind w:left="426"/>
        <w:rPr>
          <w:rFonts w:ascii="Times New Roman" w:eastAsia="DengXian" w:hAnsi="Times New Roman" w:cs="Times New Roman"/>
          <w:kern w:val="2"/>
          <w:sz w:val="20"/>
          <w:szCs w:val="20"/>
          <w:lang w:val="es-MX" w:eastAsia="zh-CN"/>
          <w14:ligatures w14:val="standardContextual"/>
        </w:rPr>
      </w:pPr>
      <w:r w:rsidRPr="00BE72F6">
        <w:rPr>
          <w:rFonts w:ascii="Times New Roman" w:eastAsia="DengXian" w:hAnsi="Times New Roman" w:cs="Times New Roman"/>
          <w:kern w:val="2"/>
          <w:sz w:val="20"/>
          <w:szCs w:val="20"/>
          <w:lang w:val="es-MX" w:eastAsia="zh-CN"/>
          <w14:ligatures w14:val="standardContextual"/>
        </w:rPr>
        <w:t xml:space="preserve">** valor de </w:t>
      </w:r>
      <w:r w:rsidRPr="00BE72F6">
        <w:rPr>
          <w:rFonts w:ascii="Times New Roman" w:eastAsia="DengXian" w:hAnsi="Times New Roman" w:cs="Times New Roman"/>
          <w:i/>
          <w:iCs/>
          <w:kern w:val="2"/>
          <w:sz w:val="20"/>
          <w:szCs w:val="20"/>
          <w:lang w:val="es-MX" w:eastAsia="zh-CN"/>
          <w14:ligatures w14:val="standardContextual"/>
        </w:rPr>
        <w:t xml:space="preserve">P </w:t>
      </w:r>
      <w:r w:rsidRPr="00BE72F6">
        <w:rPr>
          <w:rFonts w:ascii="Times New Roman" w:eastAsia="DengXian" w:hAnsi="Times New Roman" w:cs="Times New Roman"/>
          <w:kern w:val="2"/>
          <w:sz w:val="20"/>
          <w:szCs w:val="20"/>
          <w:lang w:val="es-MX" w:eastAsia="zh-CN"/>
          <w14:ligatures w14:val="standardContextual"/>
        </w:rPr>
        <w:t xml:space="preserve">de chi cuadrada (si no hay diferencias) = 0.05; valor de </w:t>
      </w:r>
      <w:r w:rsidRPr="00BE72F6">
        <w:rPr>
          <w:rFonts w:ascii="Times New Roman" w:eastAsia="DengXian" w:hAnsi="Times New Roman" w:cs="Times New Roman"/>
          <w:i/>
          <w:iCs/>
          <w:kern w:val="2"/>
          <w:sz w:val="20"/>
          <w:szCs w:val="20"/>
          <w:lang w:val="es-MX" w:eastAsia="zh-CN"/>
          <w14:ligatures w14:val="standardContextual"/>
        </w:rPr>
        <w:t>P</w:t>
      </w:r>
      <w:r w:rsidRPr="00BE72F6">
        <w:rPr>
          <w:rFonts w:ascii="Times New Roman" w:eastAsia="DengXian" w:hAnsi="Times New Roman" w:cs="Times New Roman"/>
          <w:kern w:val="2"/>
          <w:sz w:val="20"/>
          <w:szCs w:val="20"/>
          <w:lang w:val="es-MX" w:eastAsia="zh-CN"/>
          <w14:ligatures w14:val="standardContextual"/>
        </w:rPr>
        <w:t xml:space="preserve"> de equivalencia del 10% =0.7</w:t>
      </w:r>
    </w:p>
    <w:tbl>
      <w:tblPr>
        <w:tblStyle w:val="Tablaconcuadrcula1"/>
        <w:tblW w:w="0" w:type="auto"/>
        <w:jc w:val="center"/>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8625"/>
      </w:tblGrid>
      <w:tr w:rsidR="00B80213" w:rsidRPr="00716B77" w14:paraId="043761E6" w14:textId="77777777" w:rsidTr="00B80213">
        <w:trPr>
          <w:trHeight w:val="285"/>
          <w:jc w:val="center"/>
        </w:trPr>
        <w:tc>
          <w:tcPr>
            <w:tcW w:w="8625" w:type="dxa"/>
            <w:tcBorders>
              <w:top w:val="single" w:sz="12" w:space="0" w:color="FFFFFF"/>
              <w:left w:val="single" w:sz="12" w:space="0" w:color="FFFFFF"/>
              <w:bottom w:val="single" w:sz="12" w:space="0" w:color="FFFFFF"/>
              <w:right w:val="single" w:sz="12" w:space="0" w:color="FFFFFF"/>
            </w:tcBorders>
            <w:tcMar>
              <w:left w:w="105" w:type="dxa"/>
              <w:right w:w="105" w:type="dxa"/>
            </w:tcMar>
          </w:tcPr>
          <w:p w14:paraId="4A49971F" w14:textId="77777777" w:rsidR="00B80213" w:rsidRPr="00B80213" w:rsidRDefault="00B80213" w:rsidP="00B80213">
            <w:pPr>
              <w:spacing w:after="160"/>
              <w:jc w:val="both"/>
              <w:rPr>
                <w:rFonts w:ascii="Times New Roman" w:eastAsia="Aptos" w:hAnsi="Times New Roman" w:cs="Times New Roman"/>
                <w:color w:val="000000"/>
                <w:sz w:val="20"/>
                <w:szCs w:val="20"/>
              </w:rPr>
            </w:pPr>
            <w:r w:rsidRPr="00B80213">
              <w:rPr>
                <w:rFonts w:ascii="Times New Roman" w:eastAsia="Aptos" w:hAnsi="Times New Roman" w:cs="Times New Roman"/>
                <w:b/>
                <w:bCs/>
                <w:color w:val="000000"/>
                <w:sz w:val="20"/>
                <w:szCs w:val="20"/>
              </w:rPr>
              <w:t>Figura 1. Distribución de los casos de enfermedad febril y casos confirmados de dengue por lugar de residencia, área atendida por los sitios centinela de Tapachula, agosto 2024.</w:t>
            </w:r>
          </w:p>
        </w:tc>
      </w:tr>
      <w:tr w:rsidR="00B80213" w:rsidRPr="00B80213" w14:paraId="6F2EAC2E" w14:textId="77777777" w:rsidTr="00B80213">
        <w:trPr>
          <w:trHeight w:val="285"/>
          <w:jc w:val="center"/>
        </w:trPr>
        <w:tc>
          <w:tcPr>
            <w:tcW w:w="8625" w:type="dxa"/>
            <w:tcBorders>
              <w:top w:val="single" w:sz="12" w:space="0" w:color="FFFFFF"/>
              <w:left w:val="single" w:sz="12" w:space="0" w:color="FFFFFF"/>
              <w:bottom w:val="single" w:sz="12" w:space="0" w:color="FFFFFF"/>
              <w:right w:val="single" w:sz="12" w:space="0" w:color="FFFFFF"/>
            </w:tcBorders>
            <w:tcMar>
              <w:left w:w="105" w:type="dxa"/>
              <w:right w:w="105" w:type="dxa"/>
            </w:tcMar>
          </w:tcPr>
          <w:p w14:paraId="5BB35BAA" w14:textId="77777777" w:rsidR="00B80213" w:rsidRPr="00B80213" w:rsidRDefault="00B80213" w:rsidP="00B80213">
            <w:pPr>
              <w:spacing w:after="160"/>
              <w:jc w:val="center"/>
              <w:rPr>
                <w:rFonts w:ascii="Times New Roman" w:eastAsia="Aptos" w:hAnsi="Times New Roman" w:cs="Times New Roman"/>
                <w:color w:val="000000"/>
                <w:sz w:val="20"/>
                <w:szCs w:val="20"/>
              </w:rPr>
            </w:pPr>
            <w:r w:rsidRPr="00B80213">
              <w:rPr>
                <w:rFonts w:ascii="Times New Roman" w:eastAsia="Aptos" w:hAnsi="Times New Roman" w:cs="Times New Roman"/>
                <w:noProof/>
                <w:color w:val="000000"/>
                <w:sz w:val="20"/>
                <w:szCs w:val="20"/>
              </w:rPr>
              <w:drawing>
                <wp:inline distT="0" distB="0" distL="0" distR="0" wp14:anchorId="5077B7E5" wp14:editId="748F02FC">
                  <wp:extent cx="3806750" cy="3002323"/>
                  <wp:effectExtent l="0" t="0" r="3810" b="7620"/>
                  <wp:docPr id="2000570751" name="Imagen 1" descr="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570751" name="Imagen 1" descr="Mapa&#10;&#10;Descripción generada automáticamente"/>
                          <pic:cNvPicPr/>
                        </pic:nvPicPr>
                        <pic:blipFill rotWithShape="1">
                          <a:blip r:embed="rId17" cstate="print">
                            <a:extLst>
                              <a:ext uri="{28A0092B-C50C-407E-A947-70E740481C1C}">
                                <a14:useLocalDpi xmlns:a14="http://schemas.microsoft.com/office/drawing/2010/main" val="0"/>
                              </a:ext>
                            </a:extLst>
                          </a:blip>
                          <a:srcRect r="33010"/>
                          <a:stretch/>
                        </pic:blipFill>
                        <pic:spPr bwMode="auto">
                          <a:xfrm>
                            <a:off x="0" y="0"/>
                            <a:ext cx="3831324" cy="3021704"/>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aconcuadrcula1"/>
              <w:tblW w:w="4080" w:type="dxa"/>
              <w:jc w:val="center"/>
              <w:tblBorders>
                <w:top w:val="none" w:sz="12" w:space="0" w:color="000000"/>
                <w:left w:val="none" w:sz="12" w:space="0" w:color="000000"/>
                <w:bottom w:val="none" w:sz="12" w:space="0" w:color="000000"/>
                <w:right w:val="none" w:sz="12" w:space="0" w:color="000000"/>
                <w:insideH w:val="none" w:sz="12" w:space="0" w:color="000000"/>
                <w:insideV w:val="none" w:sz="12" w:space="0" w:color="000000"/>
              </w:tblBorders>
              <w:tblLayout w:type="fixed"/>
              <w:tblLook w:val="06A0" w:firstRow="1" w:lastRow="0" w:firstColumn="1" w:lastColumn="0" w:noHBand="1" w:noVBand="1"/>
            </w:tblPr>
            <w:tblGrid>
              <w:gridCol w:w="1050"/>
              <w:gridCol w:w="3030"/>
            </w:tblGrid>
            <w:tr w:rsidR="00B80213" w:rsidRPr="00B80213" w14:paraId="485CD24D" w14:textId="77777777" w:rsidTr="00B80213">
              <w:trPr>
                <w:trHeight w:val="300"/>
                <w:jc w:val="center"/>
              </w:trPr>
              <w:tc>
                <w:tcPr>
                  <w:tcW w:w="1050" w:type="dxa"/>
                </w:tcPr>
                <w:p w14:paraId="0AD081EC" w14:textId="77777777" w:rsidR="00B80213" w:rsidRPr="00B80213" w:rsidRDefault="00B80213" w:rsidP="00B80213">
                  <w:pPr>
                    <w:spacing w:after="160"/>
                    <w:jc w:val="both"/>
                    <w:rPr>
                      <w:rFonts w:ascii="Times New Roman" w:hAnsi="Times New Roman" w:cs="Times New Roman"/>
                      <w:sz w:val="20"/>
                      <w:szCs w:val="20"/>
                    </w:rPr>
                  </w:pPr>
                  <w:r w:rsidRPr="00B80213">
                    <w:rPr>
                      <w:rFonts w:ascii="Times New Roman" w:hAnsi="Times New Roman" w:cs="Times New Roman"/>
                      <w:noProof/>
                      <w:sz w:val="20"/>
                      <w:szCs w:val="20"/>
                    </w:rPr>
                    <mc:AlternateContent>
                      <mc:Choice Requires="wps">
                        <w:drawing>
                          <wp:inline distT="0" distB="0" distL="0" distR="0" wp14:anchorId="185B2829" wp14:editId="7C207D4A">
                            <wp:extent cx="85090" cy="105410"/>
                            <wp:effectExtent l="8255" t="6985" r="1905" b="1905"/>
                            <wp:docPr id="7626151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105410"/>
                                    </a:xfrm>
                                    <a:prstGeom prst="ellipse">
                                      <a:avLst/>
                                    </a:prstGeom>
                                    <a:solidFill>
                                      <a:srgbClr val="0E2841">
                                        <a:lumMod val="50000"/>
                                        <a:lumOff val="50000"/>
                                      </a:srgbClr>
                                    </a:solidFill>
                                    <a:ln>
                                      <a:noFill/>
                                    </a:ln>
                                    <a:extLst>
                                      <a:ext uri="{91240B29-F687-4F45-9708-019B960494DF}">
                                        <a14:hiddenLine xmlns:a14="http://schemas.microsoft.com/office/drawing/2010/main" w="12700">
                                          <a:solidFill>
                                            <a:schemeClr val="accent1">
                                              <a:lumMod val="50000"/>
                                              <a:lumOff val="0"/>
                                            </a:schemeClr>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oval w14:anchorId="53C89A23" id="Oval 3" o:spid="_x0000_s1026" style="width:6.7pt;height:8.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" fillcolor="#4e95d9" stroked="f" strokecolor="#1f4d78 [1604]" strokeweight="1pt">
                            <v:stroke joinstyle="miter"/>
                            <w10:anchorlock/>
                          </v:oval>
                        </w:pict>
                      </mc:Fallback>
                    </mc:AlternateContent>
                  </w:r>
                </w:p>
              </w:tc>
              <w:tc>
                <w:tcPr>
                  <w:tcW w:w="3030" w:type="dxa"/>
                </w:tcPr>
                <w:p w14:paraId="7C14E331" w14:textId="77777777" w:rsidR="00B80213" w:rsidRPr="00B80213" w:rsidRDefault="00B80213" w:rsidP="00B80213">
                  <w:pPr>
                    <w:spacing w:after="160"/>
                    <w:jc w:val="both"/>
                    <w:rPr>
                      <w:rFonts w:ascii="Times New Roman" w:hAnsi="Times New Roman" w:cs="Times New Roman"/>
                      <w:sz w:val="20"/>
                      <w:szCs w:val="20"/>
                    </w:rPr>
                  </w:pPr>
                  <w:r w:rsidRPr="00B80213">
                    <w:rPr>
                      <w:rFonts w:ascii="Times New Roman" w:hAnsi="Times New Roman" w:cs="Times New Roman"/>
                      <w:sz w:val="20"/>
                      <w:szCs w:val="20"/>
                    </w:rPr>
                    <w:t>Confirmados</w:t>
                  </w:r>
                </w:p>
              </w:tc>
            </w:tr>
            <w:tr w:rsidR="00B80213" w:rsidRPr="00B80213" w14:paraId="6AED416E" w14:textId="77777777" w:rsidTr="00B80213">
              <w:trPr>
                <w:trHeight w:val="300"/>
                <w:jc w:val="center"/>
              </w:trPr>
              <w:tc>
                <w:tcPr>
                  <w:tcW w:w="1050" w:type="dxa"/>
                  <w:shd w:val="clear" w:color="auto" w:fill="auto"/>
                </w:tcPr>
                <w:p w14:paraId="2BFCA56C" w14:textId="77777777" w:rsidR="00B80213" w:rsidRPr="00B80213" w:rsidRDefault="00B80213" w:rsidP="00B80213">
                  <w:pPr>
                    <w:spacing w:after="160"/>
                    <w:jc w:val="both"/>
                    <w:rPr>
                      <w:rFonts w:ascii="Times New Roman" w:hAnsi="Times New Roman" w:cs="Times New Roman"/>
                      <w:sz w:val="20"/>
                      <w:szCs w:val="20"/>
                    </w:rPr>
                  </w:pPr>
                  <w:r w:rsidRPr="00B80213">
                    <w:rPr>
                      <w:rFonts w:ascii="Times New Roman" w:hAnsi="Times New Roman" w:cs="Times New Roman"/>
                      <w:noProof/>
                      <w:sz w:val="20"/>
                      <w:szCs w:val="20"/>
                    </w:rPr>
                    <mc:AlternateContent>
                      <mc:Choice Requires="wps">
                        <w:drawing>
                          <wp:inline distT="0" distB="0" distL="0" distR="0" wp14:anchorId="05737C45" wp14:editId="3A730443">
                            <wp:extent cx="76835" cy="87630"/>
                            <wp:effectExtent l="8255" t="6985" r="10160" b="10160"/>
                            <wp:docPr id="203465540" name="E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835" cy="87630"/>
                                    </a:xfrm>
                                    <a:prstGeom prst="ellipse">
                                      <a:avLst/>
                                    </a:prstGeom>
                                    <a:solidFill>
                                      <a:srgbClr val="900835"/>
                                    </a:solidFill>
                                    <a:ln w="12700">
                                      <a:solidFill>
                                        <a:srgbClr val="900835"/>
                                      </a:solidFill>
                                      <a:miter lim="800000"/>
                                      <a:headEnd/>
                                      <a:tailEnd/>
                                    </a:ln>
                                  </wps:spPr>
                                  <wps:bodyPr rot="0" vert="horz" wrap="square" lIns="91440" tIns="45720" rIns="91440" bIns="45720" anchor="ctr" anchorCtr="0" upright="1">
                                    <a:noAutofit/>
                                  </wps:bodyPr>
                                </wps:wsp>
                              </a:graphicData>
                            </a:graphic>
                          </wp:inline>
                        </w:drawing>
                      </mc:Choice>
                      <mc:Fallback>
                        <w:pict>
                          <v:oval w14:anchorId="7B7D18B3" id="Elipse 1" o:spid="_x0000_s1026" style="width:6.05pt;height:6.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" fillcolor="#900835" strokecolor="#900835" strokeweight="1pt">
                            <v:stroke joinstyle="miter"/>
                            <w10:anchorlock/>
                          </v:oval>
                        </w:pict>
                      </mc:Fallback>
                    </mc:AlternateContent>
                  </w:r>
                </w:p>
              </w:tc>
              <w:tc>
                <w:tcPr>
                  <w:tcW w:w="3030" w:type="dxa"/>
                  <w:shd w:val="clear" w:color="auto" w:fill="auto"/>
                </w:tcPr>
                <w:p w14:paraId="1662E4B9" w14:textId="77777777" w:rsidR="00B80213" w:rsidRPr="00B80213" w:rsidRDefault="00B80213" w:rsidP="00B80213">
                  <w:pPr>
                    <w:spacing w:after="160"/>
                    <w:jc w:val="both"/>
                    <w:rPr>
                      <w:rFonts w:ascii="Times New Roman" w:hAnsi="Times New Roman" w:cs="Times New Roman"/>
                      <w:sz w:val="20"/>
                      <w:szCs w:val="20"/>
                    </w:rPr>
                  </w:pPr>
                  <w:r w:rsidRPr="00B80213">
                    <w:rPr>
                      <w:rFonts w:ascii="Times New Roman" w:hAnsi="Times New Roman" w:cs="Times New Roman"/>
                      <w:sz w:val="20"/>
                      <w:szCs w:val="20"/>
                    </w:rPr>
                    <w:t>Casos con cuadro febril</w:t>
                  </w:r>
                </w:p>
              </w:tc>
            </w:tr>
          </w:tbl>
          <w:p w14:paraId="2AF409F4" w14:textId="77777777" w:rsidR="00B80213" w:rsidRPr="00B80213" w:rsidRDefault="00B80213" w:rsidP="00B80213">
            <w:pPr>
              <w:spacing w:after="160"/>
              <w:jc w:val="both"/>
              <w:rPr>
                <w:rFonts w:ascii="Times New Roman" w:eastAsia="Aptos" w:hAnsi="Times New Roman" w:cs="Times New Roman"/>
                <w:color w:val="000000"/>
                <w:sz w:val="20"/>
                <w:szCs w:val="20"/>
              </w:rPr>
            </w:pPr>
          </w:p>
        </w:tc>
      </w:tr>
      <w:tr w:rsidR="00B80213" w:rsidRPr="00716B77" w14:paraId="78B4F068" w14:textId="77777777" w:rsidTr="00B80213">
        <w:trPr>
          <w:trHeight w:val="285"/>
          <w:jc w:val="center"/>
        </w:trPr>
        <w:tc>
          <w:tcPr>
            <w:tcW w:w="8625" w:type="dxa"/>
            <w:tcBorders>
              <w:top w:val="single" w:sz="12" w:space="0" w:color="FFFFFF"/>
              <w:left w:val="single" w:sz="12" w:space="0" w:color="FFFFFF"/>
              <w:bottom w:val="single" w:sz="12" w:space="0" w:color="FFFFFF"/>
              <w:right w:val="single" w:sz="12" w:space="0" w:color="FFFFFF"/>
            </w:tcBorders>
            <w:tcMar>
              <w:left w:w="105" w:type="dxa"/>
              <w:right w:w="105" w:type="dxa"/>
            </w:tcMar>
          </w:tcPr>
          <w:p w14:paraId="6C90590B" w14:textId="77777777" w:rsidR="00B80213" w:rsidRPr="00B80213" w:rsidRDefault="00B80213" w:rsidP="00B80213">
            <w:pPr>
              <w:spacing w:after="160"/>
              <w:jc w:val="both"/>
              <w:rPr>
                <w:rFonts w:ascii="Times New Roman" w:eastAsia="Aptos" w:hAnsi="Times New Roman" w:cs="Times New Roman"/>
                <w:color w:val="000000"/>
                <w:sz w:val="20"/>
                <w:szCs w:val="20"/>
              </w:rPr>
            </w:pPr>
            <w:r w:rsidRPr="00B80213">
              <w:rPr>
                <w:rFonts w:ascii="Times New Roman" w:eastAsia="Aptos" w:hAnsi="Times New Roman" w:cs="Times New Roman"/>
                <w:color w:val="000000"/>
                <w:sz w:val="20"/>
                <w:szCs w:val="20"/>
              </w:rPr>
              <w:t>Fuente: Datos de proyecto piloto de vigilancia centinela</w:t>
            </w:r>
          </w:p>
        </w:tc>
      </w:tr>
    </w:tbl>
    <w:p w14:paraId="45B5B9A9" w14:textId="2EB38795" w:rsidR="00F752F4" w:rsidRDefault="00D43C1A" w:rsidP="00D43C1A">
      <w:pPr>
        <w:pStyle w:val="IOPText"/>
        <w:spacing w:before="240"/>
        <w:ind w:firstLine="284"/>
        <w:jc w:val="center"/>
        <w:rPr>
          <w:noProof/>
          <w:lang w:val="es-MX"/>
        </w:rPr>
      </w:pPr>
      <w:r w:rsidRPr="00D43C1A">
        <w:rPr>
          <w:rFonts w:cs="Times New Roman"/>
          <w:noProof/>
          <w:lang w:val="es-MX"/>
        </w:rPr>
        <w:lastRenderedPageBreak/>
        <w:drawing>
          <wp:inline distT="0" distB="0" distL="0" distR="0" wp14:anchorId="19E67CAE" wp14:editId="44348A89">
            <wp:extent cx="5663565" cy="3462655"/>
            <wp:effectExtent l="0" t="0" r="0" b="4445"/>
            <wp:docPr id="91966586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63565" cy="3462655"/>
                    </a:xfrm>
                    <a:prstGeom prst="rect">
                      <a:avLst/>
                    </a:prstGeom>
                    <a:noFill/>
                  </pic:spPr>
                </pic:pic>
              </a:graphicData>
            </a:graphic>
          </wp:inline>
        </w:drawing>
      </w:r>
    </w:p>
    <w:p w14:paraId="2F9CD4F2" w14:textId="77777777" w:rsidR="00934D1A" w:rsidRPr="00934D1A" w:rsidRDefault="00934D1A" w:rsidP="00934D1A">
      <w:pPr>
        <w:ind w:firstLine="720"/>
        <w:rPr>
          <w:rFonts w:ascii="Times New Roman" w:eastAsia="Aptos" w:hAnsi="Times New Roman" w:cs="Times New Roman"/>
          <w:color w:val="000000"/>
          <w:sz w:val="20"/>
          <w:szCs w:val="20"/>
          <w:lang w:val="es-MX"/>
        </w:rPr>
      </w:pPr>
      <w:r w:rsidRPr="00B80213">
        <w:rPr>
          <w:rFonts w:ascii="Times New Roman" w:eastAsia="Aptos" w:hAnsi="Times New Roman" w:cs="Times New Roman"/>
          <w:color w:val="000000"/>
          <w:kern w:val="2"/>
          <w:sz w:val="20"/>
          <w:szCs w:val="20"/>
          <w:lang w:val="es-MX" w:eastAsia="zh-CN"/>
          <w14:ligatures w14:val="standardContextual"/>
        </w:rPr>
        <w:t>Fuente: Datos de proyecto piloto de vigilancia centinela</w:t>
      </w:r>
    </w:p>
    <w:p w14:paraId="622CD163" w14:textId="77777777" w:rsidR="00934D1A" w:rsidRPr="00F752F4" w:rsidRDefault="00934D1A" w:rsidP="00D43C1A">
      <w:pPr>
        <w:pStyle w:val="IOPText"/>
        <w:spacing w:before="240"/>
        <w:ind w:firstLine="284"/>
        <w:jc w:val="center"/>
        <w:rPr>
          <w:noProof/>
          <w:lang w:val="es-MX"/>
        </w:rPr>
      </w:pPr>
    </w:p>
    <w:p w14:paraId="190BB0DE" w14:textId="77777777" w:rsidR="002A27AC" w:rsidRDefault="002A27AC" w:rsidP="00604EEA">
      <w:pPr>
        <w:pStyle w:val="IOPText"/>
        <w:spacing w:before="240"/>
        <w:ind w:firstLine="284"/>
        <w:rPr>
          <w:noProof/>
          <w:lang w:val="es-ES"/>
        </w:rPr>
        <w:sectPr w:rsidR="002A27AC" w:rsidSect="00A44F3B">
          <w:type w:val="continuous"/>
          <w:pgSz w:w="11906" w:h="16838" w:code="9"/>
          <w:pgMar w:top="1418" w:right="907" w:bottom="2041" w:left="907" w:header="709" w:footer="709" w:gutter="0"/>
          <w:cols w:space="227"/>
          <w:titlePg/>
          <w:docGrid w:linePitch="360"/>
        </w:sectPr>
      </w:pPr>
    </w:p>
    <w:p w14:paraId="69D785B9" w14:textId="335F1DFE" w:rsidR="002D2B1C" w:rsidRDefault="007654E8" w:rsidP="00793E9C">
      <w:pPr>
        <w:pStyle w:val="IOPText"/>
        <w:ind w:firstLine="0"/>
        <w:rPr>
          <w:noProof/>
          <w:lang w:val="es-ES"/>
        </w:rPr>
      </w:pPr>
      <w:r w:rsidRPr="007654E8">
        <w:rPr>
          <w:b/>
          <w:bCs/>
          <w:noProof/>
          <w:lang w:val="es-ES"/>
        </w:rPr>
        <w:t>Informado por:</w:t>
      </w:r>
      <w:r w:rsidRPr="007654E8">
        <w:rPr>
          <w:noProof/>
          <w:lang w:val="es-ES"/>
        </w:rPr>
        <w:t xml:space="preserve"> Dra. Erika Daniela Barajas Chávez (Residente 3er año, Epidemiología. Hospital General Tacuba ISSSTE), Dra. Jessica Citlalli Reyes Garduño (Residente 3er año, Epidemiología. Hospital General Tacuba ISSSTE), Dra. </w:t>
      </w:r>
      <w:r w:rsidRPr="007654E8">
        <w:rPr>
          <w:noProof/>
          <w:lang w:val="pt-BR"/>
        </w:rPr>
        <w:t xml:space="preserve">Sandra Caballero (Clínica-Hospital Roberto Netter), Dra. María Hilda Ramos Vázquez, (Hospital General Tapachula), Dra. </w:t>
      </w:r>
      <w:r w:rsidRPr="007654E8">
        <w:rPr>
          <w:noProof/>
          <w:lang w:val="es-ES"/>
        </w:rPr>
        <w:t>Daena Kaori Romero Moreno, (Hospital General Tapachula), Dra. Rosa Maza López (Directora del Distrito Sanitario VII- Tapachula, de la Secretaría de Salud).</w:t>
      </w:r>
    </w:p>
    <w:p w14:paraId="09C1804F" w14:textId="39ABDBE2" w:rsidR="007654E8" w:rsidRDefault="00793E9C" w:rsidP="004F3D6E">
      <w:pPr>
        <w:pStyle w:val="IOPText"/>
        <w:spacing w:before="240" w:after="240"/>
        <w:ind w:firstLine="0"/>
        <w:rPr>
          <w:noProof/>
          <w:lang w:val="es-ES"/>
        </w:rPr>
      </w:pPr>
      <w:r w:rsidRPr="00793E9C">
        <w:rPr>
          <w:b/>
          <w:bCs/>
          <w:noProof/>
          <w:lang w:val="es-ES"/>
        </w:rPr>
        <w:t xml:space="preserve">Nota Editorial: </w:t>
      </w:r>
      <w:r w:rsidRPr="00793E9C">
        <w:rPr>
          <w:noProof/>
          <w:lang w:val="es-ES"/>
        </w:rPr>
        <w:t xml:space="preserve"> En México, la notificación del dengue data del año 1941, cuando se notificaron 6,955 casos y una tasa de 34.4 por cada 100,000 [3]. En 1954 se declaró erradicado en México el vector de la fiebre amarilla y el dengue, el Ae. aegypti. Luego de la reintroducción del dengue en México, precisamente en Tapachula en 1978-1980 [4], el dengue se ha convertido en una endemia causando miles de casos y de manera creciente más casos de dengue grave, particularmente en niños. Mientras que la mayoría de los casos de dengue entre 1978-1980 ocurrieron en adultos, actualmente la incidencia es mayor en menores de 15 años (Figura </w:t>
      </w:r>
      <w:r w:rsidR="00F67A1D">
        <w:rPr>
          <w:noProof/>
          <w:lang w:val="es-ES"/>
        </w:rPr>
        <w:t>4</w:t>
      </w:r>
      <w:r w:rsidRPr="00793E9C">
        <w:rPr>
          <w:noProof/>
          <w:lang w:val="es-ES"/>
        </w:rPr>
        <w:t xml:space="preserve">).  Esta figura muestra un desplazamiento a la izquierda de la edad de infección, es decir entre niños, indicando una incidencia sostenida y que aumenta la inmunidad con la edad.  El programa de control de </w:t>
      </w:r>
      <w:r w:rsidRPr="00BA6845">
        <w:rPr>
          <w:i/>
          <w:iCs/>
          <w:noProof/>
          <w:lang w:val="es-ES"/>
        </w:rPr>
        <w:t xml:space="preserve">Ae. aegypti </w:t>
      </w:r>
      <w:r w:rsidRPr="00793E9C">
        <w:rPr>
          <w:noProof/>
          <w:lang w:val="es-ES"/>
        </w:rPr>
        <w:t xml:space="preserve">debe fortalecerse de manera contínua, explorar enfoques innovativos y atendiendo a las recomendaciones de la Organización Mundial de la Salud según lo cual debe haber un "análisis en tiempo real de sus datos epidemiológicos, </w:t>
      </w:r>
      <w:r w:rsidRPr="00793E9C">
        <w:rPr>
          <w:noProof/>
          <w:lang w:val="es-ES"/>
        </w:rPr>
        <w:t xml:space="preserve">clínicos, de laboratorio y entomológicos, así como la generación de informes y boletines automatizados de las enfermedades transmitidas por </w:t>
      </w:r>
      <w:r w:rsidRPr="00793E9C">
        <w:rPr>
          <w:i/>
          <w:iCs/>
          <w:noProof/>
          <w:lang w:val="es-ES"/>
        </w:rPr>
        <w:t>Ae. aegypti</w:t>
      </w:r>
      <w:r w:rsidRPr="00793E9C">
        <w:rPr>
          <w:noProof/>
          <w:lang w:val="es-ES"/>
        </w:rPr>
        <w:t>" [5].</w:t>
      </w:r>
    </w:p>
    <w:p w14:paraId="5ABA433B" w14:textId="4C725F2C" w:rsidR="0071614B" w:rsidRDefault="006B7A48" w:rsidP="004F3D6E">
      <w:pPr>
        <w:pStyle w:val="IOPAff"/>
        <w:ind w:right="112"/>
        <w:rPr>
          <w:sz w:val="20"/>
          <w:szCs w:val="20"/>
          <w:lang w:val="es-ES"/>
        </w:rPr>
      </w:pPr>
      <w:r>
        <w:rPr>
          <w:noProof/>
          <w:sz w:val="20"/>
          <w:szCs w:val="20"/>
          <w:lang w:val="es-ES"/>
        </w:rPr>
        <w:drawing>
          <wp:inline distT="0" distB="0" distL="0" distR="0" wp14:anchorId="366D687D" wp14:editId="5AB18D81">
            <wp:extent cx="3330249" cy="2420471"/>
            <wp:effectExtent l="0" t="0" r="3810" b="0"/>
            <wp:docPr id="129387535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360788" cy="2442667"/>
                    </a:xfrm>
                    <a:prstGeom prst="rect">
                      <a:avLst/>
                    </a:prstGeom>
                    <a:noFill/>
                  </pic:spPr>
                </pic:pic>
              </a:graphicData>
            </a:graphic>
          </wp:inline>
        </w:drawing>
      </w:r>
    </w:p>
    <w:p w14:paraId="3692A5ED" w14:textId="77777777" w:rsidR="006758A2" w:rsidRPr="006758A2" w:rsidRDefault="006758A2" w:rsidP="006758A2">
      <w:pPr>
        <w:spacing w:after="0" w:line="240" w:lineRule="auto"/>
        <w:jc w:val="center"/>
        <w:rPr>
          <w:rFonts w:ascii="Times New Roman" w:eastAsia="Arial" w:hAnsi="Times New Roman" w:cs="Times New Roman"/>
          <w:color w:val="000000" w:themeColor="text1"/>
          <w:sz w:val="20"/>
          <w:szCs w:val="20"/>
          <w:lang w:val="es-MX"/>
        </w:rPr>
      </w:pPr>
      <w:r w:rsidRPr="006758A2">
        <w:rPr>
          <w:rFonts w:ascii="Times New Roman" w:hAnsi="Times New Roman" w:cs="Times New Roman"/>
          <w:sz w:val="20"/>
          <w:szCs w:val="20"/>
          <w:lang w:val="es-MX"/>
        </w:rPr>
        <w:t>Fuente: DGE, SUAVE, consultado septiembre 2024.  Carrada y cols. 1984</w:t>
      </w:r>
    </w:p>
    <w:p w14:paraId="33AD6E01" w14:textId="77777777" w:rsidR="00B6311B" w:rsidRDefault="00B6311B" w:rsidP="00B6311B">
      <w:pPr>
        <w:pStyle w:val="IOPAff"/>
        <w:ind w:right="112" w:firstLine="284"/>
        <w:rPr>
          <w:sz w:val="20"/>
          <w:szCs w:val="20"/>
          <w:lang w:val="es-ES"/>
        </w:rPr>
      </w:pPr>
    </w:p>
    <w:p w14:paraId="201B0D3C" w14:textId="6C3354A3" w:rsidR="006758A2" w:rsidRDefault="00DE32AA" w:rsidP="00DE32AA">
      <w:pPr>
        <w:pStyle w:val="IOPAff"/>
        <w:ind w:right="112" w:firstLine="284"/>
        <w:jc w:val="both"/>
        <w:rPr>
          <w:sz w:val="20"/>
          <w:szCs w:val="20"/>
          <w:lang w:val="es-ES"/>
        </w:rPr>
      </w:pPr>
      <w:r w:rsidRPr="00DE32AA">
        <w:rPr>
          <w:sz w:val="20"/>
          <w:szCs w:val="20"/>
          <w:lang w:val="es-ES"/>
        </w:rPr>
        <w:t xml:space="preserve">Los hallazgos de las epidemiólogas en su trabajo de campo en Tapachula las similitudes entre los casos febriles y los confirmados en persona, lugar y tiempo sugiere que se trata de una sola enfermedad, el dengue. No se excluye, pero es poco probable que estuvieran circulando otros </w:t>
      </w:r>
      <w:proofErr w:type="spellStart"/>
      <w:r w:rsidRPr="00DE32AA">
        <w:rPr>
          <w:sz w:val="20"/>
          <w:szCs w:val="20"/>
          <w:lang w:val="es-ES"/>
        </w:rPr>
        <w:t>arbovirus</w:t>
      </w:r>
      <w:proofErr w:type="spellEnd"/>
      <w:r w:rsidRPr="00DE32AA">
        <w:rPr>
          <w:sz w:val="20"/>
          <w:szCs w:val="20"/>
          <w:lang w:val="es-ES"/>
        </w:rPr>
        <w:t xml:space="preserve"> como </w:t>
      </w:r>
      <w:proofErr w:type="spellStart"/>
      <w:r w:rsidRPr="00DE32AA">
        <w:rPr>
          <w:sz w:val="20"/>
          <w:szCs w:val="20"/>
          <w:lang w:val="es-ES"/>
        </w:rPr>
        <w:t>Mayaro</w:t>
      </w:r>
      <w:proofErr w:type="spellEnd"/>
      <w:r w:rsidRPr="00DE32AA">
        <w:rPr>
          <w:sz w:val="20"/>
          <w:szCs w:val="20"/>
          <w:lang w:val="es-ES"/>
        </w:rPr>
        <w:t xml:space="preserve">, </w:t>
      </w:r>
      <w:proofErr w:type="spellStart"/>
      <w:r w:rsidRPr="00DE32AA">
        <w:rPr>
          <w:sz w:val="20"/>
          <w:szCs w:val="20"/>
          <w:lang w:val="es-ES"/>
        </w:rPr>
        <w:t>Oropouche</w:t>
      </w:r>
      <w:proofErr w:type="spellEnd"/>
      <w:r w:rsidRPr="00DE32AA">
        <w:rPr>
          <w:sz w:val="20"/>
          <w:szCs w:val="20"/>
          <w:lang w:val="es-ES"/>
        </w:rPr>
        <w:t xml:space="preserve">, o fiebre amarilla. En estudios </w:t>
      </w:r>
      <w:r w:rsidRPr="00DE32AA">
        <w:rPr>
          <w:sz w:val="20"/>
          <w:szCs w:val="20"/>
          <w:lang w:val="es-ES"/>
        </w:rPr>
        <w:lastRenderedPageBreak/>
        <w:t>realiz</w:t>
      </w:r>
      <w:r w:rsidR="004F3D6E">
        <w:rPr>
          <w:sz w:val="20"/>
          <w:szCs w:val="20"/>
          <w:lang w:val="es-ES"/>
        </w:rPr>
        <w:t>a</w:t>
      </w:r>
      <w:r w:rsidRPr="00DE32AA">
        <w:rPr>
          <w:sz w:val="20"/>
          <w:szCs w:val="20"/>
          <w:lang w:val="es-ES"/>
        </w:rPr>
        <w:t>dos en Puerto Rico, con amplio financiamiento, en los que se buscaron otros virus además del dengue, en el 50% de los febriles no se identificó el agente [6].</w:t>
      </w:r>
    </w:p>
    <w:p w14:paraId="2BF65AB1" w14:textId="7F4AA76B" w:rsidR="006228A2" w:rsidRPr="00733AA4" w:rsidRDefault="002D2B1C" w:rsidP="006228A2">
      <w:pPr>
        <w:pStyle w:val="IOPH1"/>
        <w:rPr>
          <w:noProof/>
          <w:lang w:val="es-ES"/>
        </w:rPr>
      </w:pPr>
      <w:r>
        <w:rPr>
          <w:noProof/>
          <w:lang w:val="es-ES"/>
        </w:rPr>
        <w:t>R</w:t>
      </w:r>
      <w:r w:rsidR="006228A2" w:rsidRPr="00733AA4">
        <w:rPr>
          <w:noProof/>
          <w:lang w:val="es-ES"/>
        </w:rPr>
        <w:t>eferenc</w:t>
      </w:r>
      <w:r w:rsidR="008D086A">
        <w:rPr>
          <w:noProof/>
          <w:lang w:val="es-ES"/>
        </w:rPr>
        <w:t>ia</w:t>
      </w:r>
      <w:r w:rsidR="006228A2" w:rsidRPr="00733AA4">
        <w:rPr>
          <w:noProof/>
          <w:lang w:val="es-ES"/>
        </w:rPr>
        <w:t>s</w:t>
      </w:r>
    </w:p>
    <w:p w14:paraId="75F7359F" w14:textId="27D11604" w:rsidR="00E24E3F" w:rsidRDefault="006775C4" w:rsidP="00244E57">
      <w:pPr>
        <w:pStyle w:val="Textonotaalfinal"/>
        <w:numPr>
          <w:ilvl w:val="0"/>
          <w:numId w:val="13"/>
        </w:numPr>
        <w:ind w:left="284" w:hanging="284"/>
        <w:jc w:val="both"/>
        <w:rPr>
          <w:rFonts w:ascii="Times New Roman" w:eastAsia="Century Gothic" w:hAnsi="Times New Roman" w:cs="Times New Roman"/>
          <w:color w:val="0D0D0D"/>
          <w:lang w:val="es-MX" w:eastAsia="es-CO"/>
        </w:rPr>
      </w:pPr>
      <w:r w:rsidRPr="006775C4">
        <w:rPr>
          <w:rFonts w:ascii="Times New Roman" w:eastAsia="Century Gothic" w:hAnsi="Times New Roman" w:cs="Times New Roman"/>
          <w:color w:val="0D0D0D"/>
          <w:lang w:val="es-MX" w:eastAsia="es-CO"/>
        </w:rPr>
        <w:t xml:space="preserve">Dirección General de Epidemiología. Secretaría de Salud. Panorama Epidemiológico de Dengue. Semana Epidemiológica 36 de 2024. Consultado el 16/09/202.  </w:t>
      </w:r>
    </w:p>
    <w:p w14:paraId="03DA12A7" w14:textId="484D8CA8" w:rsidR="006775C4" w:rsidRPr="00E72BD2" w:rsidRDefault="00244E57" w:rsidP="00244E57">
      <w:pPr>
        <w:pStyle w:val="Textonotaalfinal"/>
        <w:ind w:left="284"/>
        <w:jc w:val="both"/>
        <w:rPr>
          <w:rFonts w:ascii="Times New Roman" w:eastAsia="Century Gothic" w:hAnsi="Times New Roman" w:cs="Times New Roman"/>
          <w:color w:val="0D0D0D"/>
          <w:lang w:val="es-MX" w:eastAsia="es-CO"/>
        </w:rPr>
      </w:pPr>
      <w:hyperlink r:id="rId20" w:history="1">
        <w:r w:rsidRPr="00723900">
          <w:rPr>
            <w:rStyle w:val="Hipervnculo"/>
            <w:rFonts w:ascii="Times New Roman" w:eastAsia="Century Gothic" w:hAnsi="Times New Roman" w:cs="Times New Roman"/>
            <w:lang w:val="es-MX" w:eastAsia="es-CO"/>
          </w:rPr>
          <w:t>https://www.gob.mx/cms/uploads/attachment/file/943421/Pano_dengue_36.pdf</w:t>
        </w:r>
      </w:hyperlink>
      <w:r>
        <w:rPr>
          <w:rFonts w:ascii="Times New Roman" w:eastAsia="Century Gothic" w:hAnsi="Times New Roman" w:cs="Times New Roman"/>
          <w:color w:val="0D0D0D"/>
          <w:lang w:val="es-MX" w:eastAsia="es-CO"/>
        </w:rPr>
        <w:t xml:space="preserve"> </w:t>
      </w:r>
    </w:p>
    <w:p w14:paraId="600A4378" w14:textId="77777777" w:rsidR="006775C4" w:rsidRPr="006775C4" w:rsidRDefault="006775C4" w:rsidP="006775C4">
      <w:pPr>
        <w:pStyle w:val="Textonotaalfinal"/>
        <w:numPr>
          <w:ilvl w:val="0"/>
          <w:numId w:val="13"/>
        </w:numPr>
        <w:ind w:left="284"/>
        <w:jc w:val="both"/>
        <w:rPr>
          <w:rFonts w:ascii="Times New Roman" w:eastAsia="Century Gothic" w:hAnsi="Times New Roman" w:cs="Times New Roman"/>
          <w:color w:val="0D0D0D"/>
          <w:lang w:val="es-MX" w:eastAsia="es-CO"/>
        </w:rPr>
      </w:pPr>
      <w:r w:rsidRPr="006775C4">
        <w:rPr>
          <w:rFonts w:ascii="Times New Roman" w:eastAsia="Century Gothic" w:hAnsi="Times New Roman" w:cs="Times New Roman"/>
          <w:color w:val="0D0D0D"/>
          <w:lang w:val="es-MX" w:eastAsia="es-CO"/>
        </w:rPr>
        <w:t>Dirección General de Epidemiología. Secretaría de Salud. Subsecretaria de Prevención y Promoción de la salud. Manual de Procedimientos Estandarizados para la Vigilancia Epidemiológica de las Enfermedades Trasmitidas por Vector (ETV). Versión 2021.</w:t>
      </w:r>
    </w:p>
    <w:p w14:paraId="04CB3248" w14:textId="139F20F3" w:rsidR="006775C4" w:rsidRPr="006775C4" w:rsidRDefault="00244E57" w:rsidP="00244E57">
      <w:pPr>
        <w:pStyle w:val="Textonotaalfinal"/>
        <w:ind w:left="284"/>
        <w:jc w:val="both"/>
        <w:rPr>
          <w:rFonts w:ascii="Times New Roman" w:eastAsia="Century Gothic" w:hAnsi="Times New Roman" w:cs="Times New Roman"/>
          <w:color w:val="0D0D0D"/>
          <w:lang w:val="es-MX" w:eastAsia="es-CO"/>
        </w:rPr>
      </w:pPr>
      <w:hyperlink r:id="rId21" w:history="1">
        <w:r w:rsidRPr="00723900">
          <w:rPr>
            <w:rStyle w:val="Hipervnculo"/>
            <w:rFonts w:ascii="Times New Roman" w:eastAsia="Century Gothic" w:hAnsi="Times New Roman" w:cs="Times New Roman"/>
            <w:lang w:val="es-MX" w:eastAsia="es-CO"/>
          </w:rPr>
          <w:t>https://epidemiologia.salud.gob.mx/gobmx/salud/documentos/manuales/36_Manual_ETV.pdf</w:t>
        </w:r>
      </w:hyperlink>
      <w:r>
        <w:rPr>
          <w:rFonts w:ascii="Times New Roman" w:eastAsia="Century Gothic" w:hAnsi="Times New Roman" w:cs="Times New Roman"/>
          <w:color w:val="0D0D0D"/>
          <w:lang w:val="es-MX" w:eastAsia="es-CO"/>
        </w:rPr>
        <w:t xml:space="preserve"> </w:t>
      </w:r>
    </w:p>
    <w:p w14:paraId="0254A5EA" w14:textId="77777777" w:rsidR="006775C4" w:rsidRPr="006775C4" w:rsidRDefault="006775C4" w:rsidP="006775C4">
      <w:pPr>
        <w:pStyle w:val="Textonotaalfinal"/>
        <w:numPr>
          <w:ilvl w:val="0"/>
          <w:numId w:val="13"/>
        </w:numPr>
        <w:ind w:left="284"/>
        <w:jc w:val="both"/>
        <w:rPr>
          <w:rFonts w:ascii="Times New Roman" w:eastAsia="Century Gothic" w:hAnsi="Times New Roman" w:cs="Times New Roman"/>
          <w:color w:val="0D0D0D"/>
          <w:lang w:val="es-MX" w:eastAsia="es-CO"/>
        </w:rPr>
      </w:pPr>
      <w:r w:rsidRPr="006775C4">
        <w:rPr>
          <w:rFonts w:ascii="Times New Roman" w:eastAsia="Century Gothic" w:hAnsi="Times New Roman" w:cs="Times New Roman"/>
          <w:color w:val="0D0D0D"/>
          <w:lang w:val="es-MX" w:eastAsia="es-CO"/>
        </w:rPr>
        <w:t>Narro J, Gómez H. El dengue en México: un problema prioritario de salud pública.</w:t>
      </w:r>
      <w:r w:rsidRPr="00244E57">
        <w:rPr>
          <w:rFonts w:ascii="Times New Roman" w:eastAsia="Century Gothic" w:hAnsi="Times New Roman" w:cs="Times New Roman"/>
          <w:i/>
          <w:iCs/>
          <w:color w:val="0D0D0D"/>
          <w:lang w:val="es-MX" w:eastAsia="es-CO"/>
        </w:rPr>
        <w:t xml:space="preserve"> Salud Pública de México</w:t>
      </w:r>
      <w:r w:rsidRPr="006775C4">
        <w:rPr>
          <w:rFonts w:ascii="Times New Roman" w:eastAsia="Century Gothic" w:hAnsi="Times New Roman" w:cs="Times New Roman"/>
          <w:color w:val="0D0D0D"/>
          <w:lang w:val="es-MX" w:eastAsia="es-CO"/>
        </w:rPr>
        <w:t>, 1995; 37 (</w:t>
      </w:r>
      <w:proofErr w:type="spellStart"/>
      <w:r w:rsidRPr="006775C4">
        <w:rPr>
          <w:rFonts w:ascii="Times New Roman" w:eastAsia="Century Gothic" w:hAnsi="Times New Roman" w:cs="Times New Roman"/>
          <w:color w:val="0D0D0D"/>
          <w:lang w:val="es-MX" w:eastAsia="es-CO"/>
        </w:rPr>
        <w:t>Supl</w:t>
      </w:r>
      <w:proofErr w:type="spellEnd"/>
      <w:r w:rsidRPr="006775C4">
        <w:rPr>
          <w:rFonts w:ascii="Times New Roman" w:eastAsia="Century Gothic" w:hAnsi="Times New Roman" w:cs="Times New Roman"/>
          <w:color w:val="0D0D0D"/>
          <w:lang w:val="es-MX" w:eastAsia="es-CO"/>
        </w:rPr>
        <w:t xml:space="preserve"> 1): 12-20. </w:t>
      </w:r>
    </w:p>
    <w:p w14:paraId="046DA680" w14:textId="77777777" w:rsidR="006775C4" w:rsidRPr="006775C4" w:rsidRDefault="006775C4" w:rsidP="006775C4">
      <w:pPr>
        <w:pStyle w:val="Textonotaalfinal"/>
        <w:numPr>
          <w:ilvl w:val="0"/>
          <w:numId w:val="13"/>
        </w:numPr>
        <w:ind w:left="284"/>
        <w:jc w:val="both"/>
        <w:rPr>
          <w:rFonts w:ascii="Times New Roman" w:eastAsia="Century Gothic" w:hAnsi="Times New Roman" w:cs="Times New Roman"/>
          <w:color w:val="0D0D0D"/>
          <w:lang w:val="es-MX" w:eastAsia="es-CO"/>
        </w:rPr>
      </w:pPr>
      <w:r w:rsidRPr="006775C4">
        <w:rPr>
          <w:rFonts w:ascii="Times New Roman" w:eastAsia="Century Gothic" w:hAnsi="Times New Roman" w:cs="Times New Roman"/>
          <w:color w:val="0D0D0D"/>
          <w:lang w:val="es-MX" w:eastAsia="es-CO"/>
        </w:rPr>
        <w:t xml:space="preserve">Carrada Bravo T, Vázquez </w:t>
      </w:r>
      <w:proofErr w:type="spellStart"/>
      <w:r w:rsidRPr="006775C4">
        <w:rPr>
          <w:rFonts w:ascii="Times New Roman" w:eastAsia="Century Gothic" w:hAnsi="Times New Roman" w:cs="Times New Roman"/>
          <w:color w:val="0D0D0D"/>
          <w:lang w:val="es-MX" w:eastAsia="es-CO"/>
        </w:rPr>
        <w:t>Vázquez</w:t>
      </w:r>
      <w:proofErr w:type="spellEnd"/>
      <w:r w:rsidRPr="006775C4">
        <w:rPr>
          <w:rFonts w:ascii="Times New Roman" w:eastAsia="Century Gothic" w:hAnsi="Times New Roman" w:cs="Times New Roman"/>
          <w:color w:val="0D0D0D"/>
          <w:lang w:val="es-MX" w:eastAsia="es-CO"/>
        </w:rPr>
        <w:t xml:space="preserve"> L, López García I. La ecología del dengue y el</w:t>
      </w:r>
      <w:r w:rsidRPr="00244E57">
        <w:rPr>
          <w:rFonts w:ascii="Times New Roman" w:eastAsia="Century Gothic" w:hAnsi="Times New Roman" w:cs="Times New Roman"/>
          <w:i/>
          <w:iCs/>
          <w:color w:val="0D0D0D"/>
          <w:lang w:val="es-MX" w:eastAsia="es-CO"/>
        </w:rPr>
        <w:t xml:space="preserve"> Aedes </w:t>
      </w:r>
      <w:proofErr w:type="spellStart"/>
      <w:r w:rsidRPr="00244E57">
        <w:rPr>
          <w:rFonts w:ascii="Times New Roman" w:eastAsia="Century Gothic" w:hAnsi="Times New Roman" w:cs="Times New Roman"/>
          <w:i/>
          <w:iCs/>
          <w:color w:val="0D0D0D"/>
          <w:lang w:val="es-MX" w:eastAsia="es-CO"/>
        </w:rPr>
        <w:t>aegypti</w:t>
      </w:r>
      <w:proofErr w:type="spellEnd"/>
      <w:r w:rsidRPr="006775C4">
        <w:rPr>
          <w:rFonts w:ascii="Times New Roman" w:eastAsia="Century Gothic" w:hAnsi="Times New Roman" w:cs="Times New Roman"/>
          <w:color w:val="0D0D0D"/>
          <w:lang w:val="es-MX" w:eastAsia="es-CO"/>
        </w:rPr>
        <w:t>. Investigación preliminar. Cuarta parte [</w:t>
      </w:r>
      <w:proofErr w:type="spellStart"/>
      <w:r w:rsidRPr="006775C4">
        <w:rPr>
          <w:rFonts w:ascii="Times New Roman" w:eastAsia="Century Gothic" w:hAnsi="Times New Roman" w:cs="Times New Roman"/>
          <w:color w:val="0D0D0D"/>
          <w:lang w:val="es-MX" w:eastAsia="es-CO"/>
        </w:rPr>
        <w:t>The</w:t>
      </w:r>
      <w:proofErr w:type="spellEnd"/>
      <w:r w:rsidRPr="006775C4">
        <w:rPr>
          <w:rFonts w:ascii="Times New Roman" w:eastAsia="Century Gothic" w:hAnsi="Times New Roman" w:cs="Times New Roman"/>
          <w:color w:val="0D0D0D"/>
          <w:lang w:val="es-MX" w:eastAsia="es-CO"/>
        </w:rPr>
        <w:t xml:space="preserve"> </w:t>
      </w:r>
      <w:proofErr w:type="spellStart"/>
      <w:r w:rsidRPr="006775C4">
        <w:rPr>
          <w:rFonts w:ascii="Times New Roman" w:eastAsia="Century Gothic" w:hAnsi="Times New Roman" w:cs="Times New Roman"/>
          <w:color w:val="0D0D0D"/>
          <w:lang w:val="es-MX" w:eastAsia="es-CO"/>
        </w:rPr>
        <w:t>ecology</w:t>
      </w:r>
      <w:proofErr w:type="spellEnd"/>
      <w:r w:rsidRPr="006775C4">
        <w:rPr>
          <w:rFonts w:ascii="Times New Roman" w:eastAsia="Century Gothic" w:hAnsi="Times New Roman" w:cs="Times New Roman"/>
          <w:color w:val="0D0D0D"/>
          <w:lang w:val="es-MX" w:eastAsia="es-CO"/>
        </w:rPr>
        <w:t xml:space="preserve"> </w:t>
      </w:r>
      <w:proofErr w:type="spellStart"/>
      <w:r w:rsidRPr="006775C4">
        <w:rPr>
          <w:rFonts w:ascii="Times New Roman" w:eastAsia="Century Gothic" w:hAnsi="Times New Roman" w:cs="Times New Roman"/>
          <w:color w:val="0D0D0D"/>
          <w:lang w:val="es-MX" w:eastAsia="es-CO"/>
        </w:rPr>
        <w:t>of</w:t>
      </w:r>
      <w:proofErr w:type="spellEnd"/>
      <w:r w:rsidRPr="006775C4">
        <w:rPr>
          <w:rFonts w:ascii="Times New Roman" w:eastAsia="Century Gothic" w:hAnsi="Times New Roman" w:cs="Times New Roman"/>
          <w:color w:val="0D0D0D"/>
          <w:lang w:val="es-MX" w:eastAsia="es-CO"/>
        </w:rPr>
        <w:t xml:space="preserve"> dengue and Aedes </w:t>
      </w:r>
      <w:proofErr w:type="spellStart"/>
      <w:r w:rsidRPr="006775C4">
        <w:rPr>
          <w:rFonts w:ascii="Times New Roman" w:eastAsia="Century Gothic" w:hAnsi="Times New Roman" w:cs="Times New Roman"/>
          <w:color w:val="0D0D0D"/>
          <w:lang w:val="es-MX" w:eastAsia="es-CO"/>
        </w:rPr>
        <w:t>aegypti</w:t>
      </w:r>
      <w:proofErr w:type="spellEnd"/>
      <w:r w:rsidRPr="006775C4">
        <w:rPr>
          <w:rFonts w:ascii="Times New Roman" w:eastAsia="Century Gothic" w:hAnsi="Times New Roman" w:cs="Times New Roman"/>
          <w:color w:val="0D0D0D"/>
          <w:lang w:val="es-MX" w:eastAsia="es-CO"/>
        </w:rPr>
        <w:t xml:space="preserve">. </w:t>
      </w:r>
      <w:proofErr w:type="spellStart"/>
      <w:r w:rsidRPr="006775C4">
        <w:rPr>
          <w:rFonts w:ascii="Times New Roman" w:eastAsia="Century Gothic" w:hAnsi="Times New Roman" w:cs="Times New Roman"/>
          <w:color w:val="0D0D0D"/>
          <w:lang w:val="es-MX" w:eastAsia="es-CO"/>
        </w:rPr>
        <w:t>Preliminary</w:t>
      </w:r>
      <w:proofErr w:type="spellEnd"/>
      <w:r w:rsidRPr="006775C4">
        <w:rPr>
          <w:rFonts w:ascii="Times New Roman" w:eastAsia="Century Gothic" w:hAnsi="Times New Roman" w:cs="Times New Roman"/>
          <w:color w:val="0D0D0D"/>
          <w:lang w:val="es-MX" w:eastAsia="es-CO"/>
        </w:rPr>
        <w:t xml:space="preserve"> </w:t>
      </w:r>
      <w:proofErr w:type="spellStart"/>
      <w:r w:rsidRPr="006775C4">
        <w:rPr>
          <w:rFonts w:ascii="Times New Roman" w:eastAsia="Century Gothic" w:hAnsi="Times New Roman" w:cs="Times New Roman"/>
          <w:color w:val="0D0D0D"/>
          <w:lang w:val="es-MX" w:eastAsia="es-CO"/>
        </w:rPr>
        <w:t>investigation</w:t>
      </w:r>
      <w:proofErr w:type="spellEnd"/>
      <w:r w:rsidRPr="006775C4">
        <w:rPr>
          <w:rFonts w:ascii="Times New Roman" w:eastAsia="Century Gothic" w:hAnsi="Times New Roman" w:cs="Times New Roman"/>
          <w:color w:val="0D0D0D"/>
          <w:lang w:val="es-MX" w:eastAsia="es-CO"/>
        </w:rPr>
        <w:t xml:space="preserve"> 4]. </w:t>
      </w:r>
      <w:r w:rsidRPr="00244E57">
        <w:rPr>
          <w:rFonts w:ascii="Times New Roman" w:eastAsia="Century Gothic" w:hAnsi="Times New Roman" w:cs="Times New Roman"/>
          <w:i/>
          <w:iCs/>
          <w:color w:val="0D0D0D"/>
          <w:lang w:val="es-MX" w:eastAsia="es-CO"/>
        </w:rPr>
        <w:t>Salud Publica Mex</w:t>
      </w:r>
      <w:r w:rsidRPr="006775C4">
        <w:rPr>
          <w:rFonts w:ascii="Times New Roman" w:eastAsia="Century Gothic" w:hAnsi="Times New Roman" w:cs="Times New Roman"/>
          <w:color w:val="0D0D0D"/>
          <w:lang w:val="es-MX" w:eastAsia="es-CO"/>
        </w:rPr>
        <w:t>. 1984;26(5):501-516</w:t>
      </w:r>
    </w:p>
    <w:p w14:paraId="7D994195" w14:textId="77777777" w:rsidR="006775C4" w:rsidRPr="006775C4" w:rsidRDefault="006775C4" w:rsidP="006775C4">
      <w:pPr>
        <w:pStyle w:val="Textonotaalfinal"/>
        <w:numPr>
          <w:ilvl w:val="0"/>
          <w:numId w:val="13"/>
        </w:numPr>
        <w:ind w:left="284"/>
        <w:jc w:val="both"/>
        <w:rPr>
          <w:rFonts w:ascii="Times New Roman" w:eastAsia="Century Gothic" w:hAnsi="Times New Roman" w:cs="Times New Roman"/>
          <w:color w:val="0D0D0D"/>
          <w:lang w:val="es-MX" w:eastAsia="es-CO"/>
        </w:rPr>
      </w:pPr>
      <w:r w:rsidRPr="006775C4">
        <w:rPr>
          <w:rFonts w:ascii="Times New Roman" w:eastAsia="Century Gothic" w:hAnsi="Times New Roman" w:cs="Times New Roman"/>
          <w:color w:val="0D0D0D"/>
          <w:lang w:val="es-MX" w:eastAsia="es-CO"/>
        </w:rPr>
        <w:t>OMS. La vigilancia colaborativa: definición de un concepto central del fortalecimiento de la arquitectura mundial para la preparación, respuesta y resiliencia frente a emergencias sanitarias [</w:t>
      </w:r>
      <w:proofErr w:type="spellStart"/>
      <w:r w:rsidRPr="006775C4">
        <w:rPr>
          <w:rFonts w:ascii="Times New Roman" w:eastAsia="Century Gothic" w:hAnsi="Times New Roman" w:cs="Times New Roman"/>
          <w:color w:val="0D0D0D"/>
          <w:lang w:val="es-MX" w:eastAsia="es-CO"/>
        </w:rPr>
        <w:t>Defining</w:t>
      </w:r>
      <w:proofErr w:type="spellEnd"/>
      <w:r w:rsidRPr="006775C4">
        <w:rPr>
          <w:rFonts w:ascii="Times New Roman" w:eastAsia="Century Gothic" w:hAnsi="Times New Roman" w:cs="Times New Roman"/>
          <w:color w:val="0D0D0D"/>
          <w:lang w:val="es-MX" w:eastAsia="es-CO"/>
        </w:rPr>
        <w:t xml:space="preserve"> </w:t>
      </w:r>
      <w:proofErr w:type="spellStart"/>
      <w:r w:rsidRPr="006775C4">
        <w:rPr>
          <w:rFonts w:ascii="Times New Roman" w:eastAsia="Century Gothic" w:hAnsi="Times New Roman" w:cs="Times New Roman"/>
          <w:color w:val="0D0D0D"/>
          <w:lang w:val="es-MX" w:eastAsia="es-CO"/>
        </w:rPr>
        <w:t>collaborative</w:t>
      </w:r>
      <w:proofErr w:type="spellEnd"/>
      <w:r w:rsidRPr="006775C4">
        <w:rPr>
          <w:rFonts w:ascii="Times New Roman" w:eastAsia="Century Gothic" w:hAnsi="Times New Roman" w:cs="Times New Roman"/>
          <w:color w:val="0D0D0D"/>
          <w:lang w:val="es-MX" w:eastAsia="es-CO"/>
        </w:rPr>
        <w:t xml:space="preserve"> </w:t>
      </w:r>
      <w:proofErr w:type="spellStart"/>
      <w:r w:rsidRPr="006775C4">
        <w:rPr>
          <w:rFonts w:ascii="Times New Roman" w:eastAsia="Century Gothic" w:hAnsi="Times New Roman" w:cs="Times New Roman"/>
          <w:color w:val="0D0D0D"/>
          <w:lang w:val="es-MX" w:eastAsia="es-CO"/>
        </w:rPr>
        <w:t>surveillance</w:t>
      </w:r>
      <w:proofErr w:type="spellEnd"/>
      <w:r w:rsidRPr="006775C4">
        <w:rPr>
          <w:rFonts w:ascii="Times New Roman" w:eastAsia="Century Gothic" w:hAnsi="Times New Roman" w:cs="Times New Roman"/>
          <w:color w:val="0D0D0D"/>
          <w:lang w:val="es-MX" w:eastAsia="es-CO"/>
        </w:rPr>
        <w:t xml:space="preserve">: a </w:t>
      </w:r>
      <w:proofErr w:type="spellStart"/>
      <w:r w:rsidRPr="006775C4">
        <w:rPr>
          <w:rFonts w:ascii="Times New Roman" w:eastAsia="Century Gothic" w:hAnsi="Times New Roman" w:cs="Times New Roman"/>
          <w:color w:val="0D0D0D"/>
          <w:lang w:val="es-MX" w:eastAsia="es-CO"/>
        </w:rPr>
        <w:t>core</w:t>
      </w:r>
      <w:proofErr w:type="spellEnd"/>
      <w:r w:rsidRPr="006775C4">
        <w:rPr>
          <w:rFonts w:ascii="Times New Roman" w:eastAsia="Century Gothic" w:hAnsi="Times New Roman" w:cs="Times New Roman"/>
          <w:color w:val="0D0D0D"/>
          <w:lang w:val="es-MX" w:eastAsia="es-CO"/>
        </w:rPr>
        <w:t xml:space="preserve"> concept </w:t>
      </w:r>
      <w:proofErr w:type="spellStart"/>
      <w:r w:rsidRPr="006775C4">
        <w:rPr>
          <w:rFonts w:ascii="Times New Roman" w:eastAsia="Century Gothic" w:hAnsi="Times New Roman" w:cs="Times New Roman"/>
          <w:color w:val="0D0D0D"/>
          <w:lang w:val="es-MX" w:eastAsia="es-CO"/>
        </w:rPr>
        <w:t>for</w:t>
      </w:r>
      <w:proofErr w:type="spellEnd"/>
      <w:r w:rsidRPr="006775C4">
        <w:rPr>
          <w:rFonts w:ascii="Times New Roman" w:eastAsia="Century Gothic" w:hAnsi="Times New Roman" w:cs="Times New Roman"/>
          <w:color w:val="0D0D0D"/>
          <w:lang w:val="es-MX" w:eastAsia="es-CO"/>
        </w:rPr>
        <w:t xml:space="preserve"> </w:t>
      </w:r>
      <w:proofErr w:type="spellStart"/>
      <w:r w:rsidRPr="006775C4">
        <w:rPr>
          <w:rFonts w:ascii="Times New Roman" w:eastAsia="Century Gothic" w:hAnsi="Times New Roman" w:cs="Times New Roman"/>
          <w:color w:val="0D0D0D"/>
          <w:lang w:val="es-MX" w:eastAsia="es-CO"/>
        </w:rPr>
        <w:t>strengthening</w:t>
      </w:r>
      <w:proofErr w:type="spellEnd"/>
      <w:r w:rsidRPr="006775C4">
        <w:rPr>
          <w:rFonts w:ascii="Times New Roman" w:eastAsia="Century Gothic" w:hAnsi="Times New Roman" w:cs="Times New Roman"/>
          <w:color w:val="0D0D0D"/>
          <w:lang w:val="es-MX" w:eastAsia="es-CO"/>
        </w:rPr>
        <w:t xml:space="preserve"> </w:t>
      </w:r>
      <w:proofErr w:type="spellStart"/>
      <w:r w:rsidRPr="006775C4">
        <w:rPr>
          <w:rFonts w:ascii="Times New Roman" w:eastAsia="Century Gothic" w:hAnsi="Times New Roman" w:cs="Times New Roman"/>
          <w:color w:val="0D0D0D"/>
          <w:lang w:val="es-MX" w:eastAsia="es-CO"/>
        </w:rPr>
        <w:t>the</w:t>
      </w:r>
      <w:proofErr w:type="spellEnd"/>
      <w:r w:rsidRPr="006775C4">
        <w:rPr>
          <w:rFonts w:ascii="Times New Roman" w:eastAsia="Century Gothic" w:hAnsi="Times New Roman" w:cs="Times New Roman"/>
          <w:color w:val="0D0D0D"/>
          <w:lang w:val="es-MX" w:eastAsia="es-CO"/>
        </w:rPr>
        <w:t xml:space="preserve"> global </w:t>
      </w:r>
      <w:proofErr w:type="spellStart"/>
      <w:r w:rsidRPr="006775C4">
        <w:rPr>
          <w:rFonts w:ascii="Times New Roman" w:eastAsia="Century Gothic" w:hAnsi="Times New Roman" w:cs="Times New Roman"/>
          <w:color w:val="0D0D0D"/>
          <w:lang w:val="es-MX" w:eastAsia="es-CO"/>
        </w:rPr>
        <w:t>architecture</w:t>
      </w:r>
      <w:proofErr w:type="spellEnd"/>
      <w:r w:rsidRPr="006775C4">
        <w:rPr>
          <w:rFonts w:ascii="Times New Roman" w:eastAsia="Century Gothic" w:hAnsi="Times New Roman" w:cs="Times New Roman"/>
          <w:color w:val="0D0D0D"/>
          <w:lang w:val="es-MX" w:eastAsia="es-CO"/>
        </w:rPr>
        <w:t xml:space="preserve"> </w:t>
      </w:r>
      <w:proofErr w:type="spellStart"/>
      <w:r w:rsidRPr="006775C4">
        <w:rPr>
          <w:rFonts w:ascii="Times New Roman" w:eastAsia="Century Gothic" w:hAnsi="Times New Roman" w:cs="Times New Roman"/>
          <w:color w:val="0D0D0D"/>
          <w:lang w:val="es-MX" w:eastAsia="es-CO"/>
        </w:rPr>
        <w:t>for</w:t>
      </w:r>
      <w:proofErr w:type="spellEnd"/>
      <w:r w:rsidRPr="006775C4">
        <w:rPr>
          <w:rFonts w:ascii="Times New Roman" w:eastAsia="Century Gothic" w:hAnsi="Times New Roman" w:cs="Times New Roman"/>
          <w:color w:val="0D0D0D"/>
          <w:lang w:val="es-MX" w:eastAsia="es-CO"/>
        </w:rPr>
        <w:t xml:space="preserve"> </w:t>
      </w:r>
      <w:proofErr w:type="spellStart"/>
      <w:r w:rsidRPr="006775C4">
        <w:rPr>
          <w:rFonts w:ascii="Times New Roman" w:eastAsia="Century Gothic" w:hAnsi="Times New Roman" w:cs="Times New Roman"/>
          <w:color w:val="0D0D0D"/>
          <w:lang w:val="es-MX" w:eastAsia="es-CO"/>
        </w:rPr>
        <w:t>health</w:t>
      </w:r>
      <w:proofErr w:type="spellEnd"/>
      <w:r w:rsidRPr="006775C4">
        <w:rPr>
          <w:rFonts w:ascii="Times New Roman" w:eastAsia="Century Gothic" w:hAnsi="Times New Roman" w:cs="Times New Roman"/>
          <w:color w:val="0D0D0D"/>
          <w:lang w:val="es-MX" w:eastAsia="es-CO"/>
        </w:rPr>
        <w:t xml:space="preserve"> </w:t>
      </w:r>
      <w:proofErr w:type="spellStart"/>
      <w:r w:rsidRPr="006775C4">
        <w:rPr>
          <w:rFonts w:ascii="Times New Roman" w:eastAsia="Century Gothic" w:hAnsi="Times New Roman" w:cs="Times New Roman"/>
          <w:color w:val="0D0D0D"/>
          <w:lang w:val="es-MX" w:eastAsia="es-CO"/>
        </w:rPr>
        <w:t>emergency</w:t>
      </w:r>
      <w:proofErr w:type="spellEnd"/>
      <w:r w:rsidRPr="006775C4">
        <w:rPr>
          <w:rFonts w:ascii="Times New Roman" w:eastAsia="Century Gothic" w:hAnsi="Times New Roman" w:cs="Times New Roman"/>
          <w:color w:val="0D0D0D"/>
          <w:lang w:val="es-MX" w:eastAsia="es-CO"/>
        </w:rPr>
        <w:t xml:space="preserve"> </w:t>
      </w:r>
      <w:proofErr w:type="spellStart"/>
      <w:r w:rsidRPr="006775C4">
        <w:rPr>
          <w:rFonts w:ascii="Times New Roman" w:eastAsia="Century Gothic" w:hAnsi="Times New Roman" w:cs="Times New Roman"/>
          <w:color w:val="0D0D0D"/>
          <w:lang w:val="es-MX" w:eastAsia="es-CO"/>
        </w:rPr>
        <w:t>preparedness</w:t>
      </w:r>
      <w:proofErr w:type="spellEnd"/>
      <w:r w:rsidRPr="006775C4">
        <w:rPr>
          <w:rFonts w:ascii="Times New Roman" w:eastAsia="Century Gothic" w:hAnsi="Times New Roman" w:cs="Times New Roman"/>
          <w:color w:val="0D0D0D"/>
          <w:lang w:val="es-MX" w:eastAsia="es-CO"/>
        </w:rPr>
        <w:t xml:space="preserve">, response, and </w:t>
      </w:r>
      <w:proofErr w:type="spellStart"/>
      <w:r w:rsidRPr="006775C4">
        <w:rPr>
          <w:rFonts w:ascii="Times New Roman" w:eastAsia="Century Gothic" w:hAnsi="Times New Roman" w:cs="Times New Roman"/>
          <w:color w:val="0D0D0D"/>
          <w:lang w:val="es-MX" w:eastAsia="es-CO"/>
        </w:rPr>
        <w:t>resilience</w:t>
      </w:r>
      <w:proofErr w:type="spellEnd"/>
      <w:r w:rsidRPr="006775C4">
        <w:rPr>
          <w:rFonts w:ascii="Times New Roman" w:eastAsia="Century Gothic" w:hAnsi="Times New Roman" w:cs="Times New Roman"/>
          <w:color w:val="0D0D0D"/>
          <w:lang w:val="es-MX" w:eastAsia="es-CO"/>
        </w:rPr>
        <w:t xml:space="preserve"> (HEPR)]. Ginebra: Organización Mundial de la Salud; 2023. Licencia: CC BY-NC-SA 3.0 IGO.</w:t>
      </w:r>
    </w:p>
    <w:p w14:paraId="7B75F417" w14:textId="11AE8630" w:rsidR="006775C4" w:rsidRPr="00716B77" w:rsidRDefault="006775C4" w:rsidP="00E72BD2">
      <w:pPr>
        <w:pStyle w:val="Textonotaalfinal"/>
        <w:numPr>
          <w:ilvl w:val="0"/>
          <w:numId w:val="13"/>
        </w:numPr>
        <w:ind w:left="284"/>
        <w:jc w:val="both"/>
        <w:rPr>
          <w:rFonts w:ascii="Times New Roman" w:eastAsia="Century Gothic" w:hAnsi="Times New Roman" w:cs="Times New Roman"/>
          <w:color w:val="0D0D0D"/>
          <w:lang w:val="es-MX" w:eastAsia="es-CO"/>
        </w:rPr>
      </w:pPr>
      <w:proofErr w:type="spellStart"/>
      <w:r w:rsidRPr="00716B77">
        <w:rPr>
          <w:rFonts w:ascii="Times New Roman" w:eastAsia="Century Gothic" w:hAnsi="Times New Roman" w:cs="Times New Roman"/>
          <w:color w:val="0D0D0D"/>
          <w:lang w:val="es-MX" w:eastAsia="es-CO"/>
        </w:rPr>
        <w:t>Madewell</w:t>
      </w:r>
      <w:proofErr w:type="spellEnd"/>
      <w:r w:rsidRPr="00716B77">
        <w:rPr>
          <w:rFonts w:ascii="Times New Roman" w:eastAsia="Century Gothic" w:hAnsi="Times New Roman" w:cs="Times New Roman"/>
          <w:color w:val="0D0D0D"/>
          <w:lang w:val="es-MX" w:eastAsia="es-CO"/>
        </w:rPr>
        <w:t xml:space="preserve"> ZJ, </w:t>
      </w:r>
      <w:proofErr w:type="spellStart"/>
      <w:r w:rsidRPr="00716B77">
        <w:rPr>
          <w:rFonts w:ascii="Times New Roman" w:eastAsia="Century Gothic" w:hAnsi="Times New Roman" w:cs="Times New Roman"/>
          <w:color w:val="0D0D0D"/>
          <w:lang w:val="es-MX" w:eastAsia="es-CO"/>
        </w:rPr>
        <w:t>Hernandez-Romieu</w:t>
      </w:r>
      <w:proofErr w:type="spellEnd"/>
      <w:r w:rsidRPr="00716B77">
        <w:rPr>
          <w:rFonts w:ascii="Times New Roman" w:eastAsia="Century Gothic" w:hAnsi="Times New Roman" w:cs="Times New Roman"/>
          <w:color w:val="0D0D0D"/>
          <w:lang w:val="es-MX" w:eastAsia="es-CO"/>
        </w:rPr>
        <w:t xml:space="preserve"> AC, Wong JM, et al. </w:t>
      </w:r>
      <w:proofErr w:type="spellStart"/>
      <w:r w:rsidRPr="00716B77">
        <w:rPr>
          <w:rFonts w:ascii="Times New Roman" w:eastAsia="Century Gothic" w:hAnsi="Times New Roman" w:cs="Times New Roman"/>
          <w:color w:val="0D0D0D"/>
          <w:lang w:val="es-MX" w:eastAsia="es-CO"/>
        </w:rPr>
        <w:t>Sentinel</w:t>
      </w:r>
      <w:proofErr w:type="spellEnd"/>
      <w:r w:rsidRPr="00716B77">
        <w:rPr>
          <w:rFonts w:ascii="Times New Roman" w:eastAsia="Century Gothic" w:hAnsi="Times New Roman" w:cs="Times New Roman"/>
          <w:color w:val="0D0D0D"/>
          <w:lang w:val="es-MX" w:eastAsia="es-CO"/>
        </w:rPr>
        <w:t xml:space="preserve"> </w:t>
      </w:r>
      <w:proofErr w:type="spellStart"/>
      <w:r w:rsidRPr="00716B77">
        <w:rPr>
          <w:rFonts w:ascii="Times New Roman" w:eastAsia="Century Gothic" w:hAnsi="Times New Roman" w:cs="Times New Roman"/>
          <w:color w:val="0D0D0D"/>
          <w:lang w:val="es-MX" w:eastAsia="es-CO"/>
        </w:rPr>
        <w:t>Enhanced</w:t>
      </w:r>
      <w:proofErr w:type="spellEnd"/>
      <w:r w:rsidRPr="00716B77">
        <w:rPr>
          <w:rFonts w:ascii="Times New Roman" w:eastAsia="Century Gothic" w:hAnsi="Times New Roman" w:cs="Times New Roman"/>
          <w:color w:val="0D0D0D"/>
          <w:lang w:val="es-MX" w:eastAsia="es-CO"/>
        </w:rPr>
        <w:t xml:space="preserve"> Dengue </w:t>
      </w:r>
      <w:proofErr w:type="spellStart"/>
      <w:r w:rsidRPr="00716B77">
        <w:rPr>
          <w:rFonts w:ascii="Times New Roman" w:eastAsia="Century Gothic" w:hAnsi="Times New Roman" w:cs="Times New Roman"/>
          <w:color w:val="0D0D0D"/>
          <w:lang w:val="es-MX" w:eastAsia="es-CO"/>
        </w:rPr>
        <w:t>Surveillance</w:t>
      </w:r>
      <w:proofErr w:type="spellEnd"/>
      <w:r w:rsidRPr="00716B77">
        <w:rPr>
          <w:rFonts w:ascii="Times New Roman" w:eastAsia="Century Gothic" w:hAnsi="Times New Roman" w:cs="Times New Roman"/>
          <w:color w:val="0D0D0D"/>
          <w:lang w:val="es-MX" w:eastAsia="es-CO"/>
        </w:rPr>
        <w:t xml:space="preserve"> </w:t>
      </w:r>
      <w:proofErr w:type="spellStart"/>
      <w:r w:rsidRPr="00716B77">
        <w:rPr>
          <w:rFonts w:ascii="Times New Roman" w:eastAsia="Century Gothic" w:hAnsi="Times New Roman" w:cs="Times New Roman"/>
          <w:color w:val="0D0D0D"/>
          <w:lang w:val="es-MX" w:eastAsia="es-CO"/>
        </w:rPr>
        <w:t>System</w:t>
      </w:r>
      <w:proofErr w:type="spellEnd"/>
      <w:r w:rsidRPr="00716B77">
        <w:rPr>
          <w:rFonts w:ascii="Times New Roman" w:eastAsia="Century Gothic" w:hAnsi="Times New Roman" w:cs="Times New Roman"/>
          <w:color w:val="0D0D0D"/>
          <w:lang w:val="es-MX" w:eastAsia="es-CO"/>
        </w:rPr>
        <w:t xml:space="preserve"> - Puerto Rico, 2012-2022.</w:t>
      </w:r>
      <w:r w:rsidRPr="00716B77">
        <w:rPr>
          <w:rFonts w:ascii="Times New Roman" w:eastAsia="Century Gothic" w:hAnsi="Times New Roman" w:cs="Times New Roman"/>
          <w:i/>
          <w:iCs/>
          <w:color w:val="0D0D0D"/>
          <w:lang w:val="es-MX" w:eastAsia="es-CO"/>
        </w:rPr>
        <w:t xml:space="preserve"> MMWR </w:t>
      </w:r>
      <w:proofErr w:type="spellStart"/>
      <w:r w:rsidRPr="00716B77">
        <w:rPr>
          <w:rFonts w:ascii="Times New Roman" w:eastAsia="Century Gothic" w:hAnsi="Times New Roman" w:cs="Times New Roman"/>
          <w:i/>
          <w:iCs/>
          <w:color w:val="0D0D0D"/>
          <w:lang w:val="es-MX" w:eastAsia="es-CO"/>
        </w:rPr>
        <w:t>Surveill</w:t>
      </w:r>
      <w:proofErr w:type="spellEnd"/>
      <w:r w:rsidRPr="00716B77">
        <w:rPr>
          <w:rFonts w:ascii="Times New Roman" w:eastAsia="Century Gothic" w:hAnsi="Times New Roman" w:cs="Times New Roman"/>
          <w:i/>
          <w:iCs/>
          <w:color w:val="0D0D0D"/>
          <w:lang w:val="es-MX" w:eastAsia="es-CO"/>
        </w:rPr>
        <w:t xml:space="preserve"> </w:t>
      </w:r>
      <w:proofErr w:type="spellStart"/>
      <w:r w:rsidRPr="00716B77">
        <w:rPr>
          <w:rFonts w:ascii="Times New Roman" w:eastAsia="Century Gothic" w:hAnsi="Times New Roman" w:cs="Times New Roman"/>
          <w:i/>
          <w:iCs/>
          <w:color w:val="0D0D0D"/>
          <w:lang w:val="es-MX" w:eastAsia="es-CO"/>
        </w:rPr>
        <w:t>Summ</w:t>
      </w:r>
      <w:proofErr w:type="spellEnd"/>
      <w:r w:rsidRPr="00716B77">
        <w:rPr>
          <w:rFonts w:ascii="Times New Roman" w:eastAsia="Century Gothic" w:hAnsi="Times New Roman" w:cs="Times New Roman"/>
          <w:i/>
          <w:iCs/>
          <w:color w:val="0D0D0D"/>
          <w:lang w:val="es-MX" w:eastAsia="es-CO"/>
        </w:rPr>
        <w:t>.</w:t>
      </w:r>
      <w:r w:rsidRPr="00716B77">
        <w:rPr>
          <w:rFonts w:ascii="Times New Roman" w:eastAsia="Century Gothic" w:hAnsi="Times New Roman" w:cs="Times New Roman"/>
          <w:color w:val="0D0D0D"/>
          <w:lang w:val="es-MX" w:eastAsia="es-CO"/>
        </w:rPr>
        <w:t xml:space="preserve"> 2024;73(3):1-29.</w:t>
      </w:r>
      <w:r w:rsidR="00E72BD2" w:rsidRPr="00716B77">
        <w:rPr>
          <w:rFonts w:ascii="Times New Roman" w:eastAsia="Century Gothic" w:hAnsi="Times New Roman" w:cs="Times New Roman"/>
          <w:color w:val="0D0D0D"/>
          <w:lang w:val="es-MX" w:eastAsia="es-CO"/>
        </w:rPr>
        <w:t xml:space="preserve"> </w:t>
      </w:r>
      <w:r w:rsidRPr="00716B77">
        <w:rPr>
          <w:rFonts w:ascii="Times New Roman" w:eastAsia="Century Gothic" w:hAnsi="Times New Roman" w:cs="Times New Roman"/>
          <w:color w:val="0D0D0D"/>
          <w:lang w:val="es-MX" w:eastAsia="es-CO"/>
        </w:rPr>
        <w:t>doi:10.15585/</w:t>
      </w:r>
      <w:proofErr w:type="gramStart"/>
      <w:r w:rsidRPr="00716B77">
        <w:rPr>
          <w:rFonts w:ascii="Times New Roman" w:eastAsia="Century Gothic" w:hAnsi="Times New Roman" w:cs="Times New Roman"/>
          <w:color w:val="0D0D0D"/>
          <w:lang w:val="es-MX" w:eastAsia="es-CO"/>
        </w:rPr>
        <w:t>mmwr.ss</w:t>
      </w:r>
      <w:proofErr w:type="gramEnd"/>
      <w:r w:rsidRPr="00716B77">
        <w:rPr>
          <w:rFonts w:ascii="Times New Roman" w:eastAsia="Century Gothic" w:hAnsi="Times New Roman" w:cs="Times New Roman"/>
          <w:color w:val="0D0D0D"/>
          <w:lang w:val="es-MX" w:eastAsia="es-CO"/>
        </w:rPr>
        <w:t>7303a1</w:t>
      </w:r>
    </w:p>
    <w:p w14:paraId="4285C850" w14:textId="77777777" w:rsidR="0066303F" w:rsidRPr="00716B77" w:rsidRDefault="0066303F" w:rsidP="0066303F">
      <w:pPr>
        <w:pStyle w:val="Textonotaalfinal"/>
        <w:spacing w:line="259" w:lineRule="auto"/>
        <w:jc w:val="both"/>
        <w:rPr>
          <w:rFonts w:ascii="Times New Roman" w:hAnsi="Times New Roman" w:cs="Times New Roman"/>
          <w:lang w:val="es-MX"/>
        </w:rPr>
      </w:pPr>
    </w:p>
    <w:sectPr w:rsidR="0066303F" w:rsidRPr="00716B77" w:rsidSect="0066303F">
      <w:headerReference w:type="first" r:id="rId22"/>
      <w:type w:val="continuous"/>
      <w:pgSz w:w="11906" w:h="16838" w:code="9"/>
      <w:pgMar w:top="1418" w:right="907" w:bottom="2041" w:left="907" w:header="709" w:footer="709" w:gutter="0"/>
      <w:cols w:num="2" w:space="22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B57511" w14:textId="77777777" w:rsidR="005E038B" w:rsidRDefault="005E038B" w:rsidP="00927301">
      <w:pPr>
        <w:spacing w:after="0" w:line="240" w:lineRule="auto"/>
      </w:pPr>
      <w:r>
        <w:separator/>
      </w:r>
    </w:p>
  </w:endnote>
  <w:endnote w:type="continuationSeparator" w:id="0">
    <w:p w14:paraId="6B69562E" w14:textId="77777777" w:rsidR="005E038B" w:rsidRDefault="005E038B" w:rsidP="00927301">
      <w:pPr>
        <w:spacing w:after="0" w:line="240" w:lineRule="auto"/>
      </w:pPr>
      <w:r>
        <w:continuationSeparator/>
      </w:r>
    </w:p>
  </w:endnote>
  <w:endnote w:type="continuationNotice" w:id="1">
    <w:p w14:paraId="265240C3" w14:textId="77777777" w:rsidR="005E038B" w:rsidRDefault="005E03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0841407"/>
      <w:docPartObj>
        <w:docPartGallery w:val="Page Numbers (Bottom of Page)"/>
        <w:docPartUnique/>
      </w:docPartObj>
    </w:sdtPr>
    <w:sdtEndPr>
      <w:rPr>
        <w:noProof/>
      </w:rPr>
    </w:sdtEndPr>
    <w:sdtContent>
      <w:p w14:paraId="034771EC" w14:textId="72289300" w:rsidR="009536C0" w:rsidRDefault="009536C0">
        <w:pPr>
          <w:pStyle w:val="Piedepgina"/>
          <w:jc w:val="center"/>
        </w:pPr>
        <w:r>
          <w:ptab w:relativeTo="margin" w:alignment="left" w:leader="none"/>
        </w:r>
        <w:r>
          <w:ptab w:relativeTo="margin" w:alignment="center" w:leader="none"/>
        </w:r>
        <w:r w:rsidRPr="009536C0">
          <w:rPr>
            <w:sz w:val="14"/>
            <w:szCs w:val="14"/>
          </w:rPr>
          <w:fldChar w:fldCharType="begin"/>
        </w:r>
        <w:r w:rsidRPr="009536C0">
          <w:rPr>
            <w:sz w:val="14"/>
            <w:szCs w:val="14"/>
          </w:rPr>
          <w:instrText xml:space="preserve"> PAGE   \* MERGEFORMAT </w:instrText>
        </w:r>
        <w:r w:rsidRPr="009536C0">
          <w:rPr>
            <w:sz w:val="14"/>
            <w:szCs w:val="14"/>
          </w:rPr>
          <w:fldChar w:fldCharType="separate"/>
        </w:r>
        <w:r w:rsidR="00322803">
          <w:rPr>
            <w:noProof/>
            <w:sz w:val="14"/>
            <w:szCs w:val="14"/>
          </w:rPr>
          <w:t>1</w:t>
        </w:r>
        <w:r w:rsidRPr="009536C0">
          <w:rPr>
            <w:noProof/>
            <w:sz w:val="14"/>
            <w:szCs w:val="14"/>
          </w:rPr>
          <w:fldChar w:fldCharType="end"/>
        </w:r>
        <w:r>
          <w:rPr>
            <w:noProof/>
            <w:sz w:val="14"/>
            <w:szCs w:val="14"/>
          </w:rPr>
          <w:ptab w:relativeTo="margin" w:alignment="right" w:leader="none"/>
        </w:r>
      </w:p>
    </w:sdtContent>
  </w:sdt>
  <w:p w14:paraId="66EA29BF" w14:textId="77777777" w:rsidR="009536C0" w:rsidRDefault="009536C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6930311"/>
      <w:docPartObj>
        <w:docPartGallery w:val="Page Numbers (Bottom of Page)"/>
        <w:docPartUnique/>
      </w:docPartObj>
    </w:sdtPr>
    <w:sdtEndPr>
      <w:rPr>
        <w:sz w:val="14"/>
        <w:szCs w:val="14"/>
      </w:rPr>
    </w:sdtEndPr>
    <w:sdtContent>
      <w:p w14:paraId="71761770" w14:textId="538C1EAF" w:rsidR="00237FD0" w:rsidRPr="00FC60C1" w:rsidRDefault="00237FD0">
        <w:pPr>
          <w:pStyle w:val="Piedepgina"/>
          <w:jc w:val="center"/>
          <w:rPr>
            <w:sz w:val="14"/>
            <w:szCs w:val="14"/>
          </w:rPr>
        </w:pPr>
        <w:r w:rsidRPr="00FC60C1">
          <w:rPr>
            <w:sz w:val="14"/>
            <w:szCs w:val="14"/>
          </w:rPr>
          <w:fldChar w:fldCharType="begin"/>
        </w:r>
        <w:r w:rsidRPr="00FC60C1">
          <w:rPr>
            <w:sz w:val="14"/>
            <w:szCs w:val="14"/>
          </w:rPr>
          <w:instrText>PAGE   \* MERGEFORMAT</w:instrText>
        </w:r>
        <w:r w:rsidRPr="00FC60C1">
          <w:rPr>
            <w:sz w:val="14"/>
            <w:szCs w:val="14"/>
          </w:rPr>
          <w:fldChar w:fldCharType="separate"/>
        </w:r>
        <w:r w:rsidRPr="00FC60C1">
          <w:rPr>
            <w:sz w:val="14"/>
            <w:szCs w:val="14"/>
            <w:lang w:val="es-ES"/>
          </w:rPr>
          <w:t>2</w:t>
        </w:r>
        <w:r w:rsidRPr="00FC60C1">
          <w:rPr>
            <w:sz w:val="14"/>
            <w:szCs w:val="14"/>
          </w:rPr>
          <w:fldChar w:fldCharType="end"/>
        </w:r>
      </w:p>
    </w:sdtContent>
  </w:sdt>
  <w:p w14:paraId="3CFD5781" w14:textId="77777777" w:rsidR="00237FD0" w:rsidRDefault="00237FD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16301"/>
      <w:docPartObj>
        <w:docPartGallery w:val="Page Numbers (Bottom of Page)"/>
        <w:docPartUnique/>
      </w:docPartObj>
    </w:sdtPr>
    <w:sdtEndPr>
      <w:rPr>
        <w:noProof/>
      </w:rPr>
    </w:sdtEndPr>
    <w:sdtContent>
      <w:p w14:paraId="04913E0C" w14:textId="77777777" w:rsidR="000A33FC" w:rsidRDefault="000A33FC">
        <w:pPr>
          <w:pStyle w:val="Piedepgina"/>
          <w:jc w:val="center"/>
        </w:pPr>
        <w:r>
          <w:ptab w:relativeTo="margin" w:alignment="center" w:leader="none"/>
        </w:r>
        <w:r w:rsidRPr="009536C0">
          <w:rPr>
            <w:sz w:val="14"/>
            <w:szCs w:val="14"/>
          </w:rPr>
          <w:fldChar w:fldCharType="begin"/>
        </w:r>
        <w:r w:rsidRPr="009536C0">
          <w:rPr>
            <w:sz w:val="14"/>
            <w:szCs w:val="14"/>
          </w:rPr>
          <w:instrText xml:space="preserve"> PAGE   \* MERGEFORMAT </w:instrText>
        </w:r>
        <w:r w:rsidRPr="009536C0">
          <w:rPr>
            <w:sz w:val="14"/>
            <w:szCs w:val="14"/>
          </w:rPr>
          <w:fldChar w:fldCharType="separate"/>
        </w:r>
        <w:r w:rsidR="00322803">
          <w:rPr>
            <w:noProof/>
            <w:sz w:val="14"/>
            <w:szCs w:val="14"/>
          </w:rPr>
          <w:t>2</w:t>
        </w:r>
        <w:r w:rsidRPr="009536C0">
          <w:rPr>
            <w:noProof/>
            <w:sz w:val="14"/>
            <w:szCs w:val="14"/>
          </w:rPr>
          <w:fldChar w:fldCharType="end"/>
        </w:r>
        <w:r>
          <w:rPr>
            <w:noProof/>
            <w:sz w:val="14"/>
            <w:szCs w:val="14"/>
          </w:rPr>
          <w:ptab w:relativeTo="margin" w:alignment="right" w:leader="none"/>
        </w:r>
      </w:p>
    </w:sdtContent>
  </w:sdt>
  <w:p w14:paraId="530602D6" w14:textId="77777777" w:rsidR="000A33FC" w:rsidRDefault="000A33F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8DB8B0" w14:textId="77777777" w:rsidR="005E038B" w:rsidRDefault="005E038B" w:rsidP="00927301">
      <w:pPr>
        <w:spacing w:after="0" w:line="240" w:lineRule="auto"/>
      </w:pPr>
      <w:r>
        <w:separator/>
      </w:r>
    </w:p>
  </w:footnote>
  <w:footnote w:type="continuationSeparator" w:id="0">
    <w:p w14:paraId="50B0E27F" w14:textId="77777777" w:rsidR="005E038B" w:rsidRDefault="005E038B" w:rsidP="00927301">
      <w:pPr>
        <w:spacing w:after="0" w:line="240" w:lineRule="auto"/>
      </w:pPr>
      <w:r>
        <w:continuationSeparator/>
      </w:r>
    </w:p>
  </w:footnote>
  <w:footnote w:type="continuationNotice" w:id="1">
    <w:p w14:paraId="41A90ED4" w14:textId="77777777" w:rsidR="005E038B" w:rsidRDefault="005E03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Hlk130442323"/>
  <w:bookmarkStart w:id="2" w:name="_Hlk130442324"/>
  <w:p w14:paraId="27B867A1" w14:textId="3285E25A" w:rsidR="00537C10" w:rsidRPr="00654D1E" w:rsidRDefault="00CD3F55" w:rsidP="007B6012">
    <w:pPr>
      <w:pStyle w:val="Encabezado"/>
      <w:tabs>
        <w:tab w:val="clear" w:pos="4513"/>
        <w:tab w:val="center" w:pos="5387"/>
      </w:tabs>
      <w:ind w:left="-142"/>
      <w:jc w:val="center"/>
    </w:pPr>
    <w:r w:rsidRPr="00CD3F55">
      <w:rPr>
        <w:noProof/>
      </w:rPr>
      <mc:AlternateContent>
        <mc:Choice Requires="wps">
          <w:drawing>
            <wp:anchor distT="0" distB="0" distL="114300" distR="114300" simplePos="0" relativeHeight="251658240" behindDoc="0" locked="0" layoutInCell="1" allowOverlap="1" wp14:anchorId="55495542" wp14:editId="04531BA5">
              <wp:simplePos x="0" y="0"/>
              <wp:positionH relativeFrom="column">
                <wp:posOffset>3955714</wp:posOffset>
              </wp:positionH>
              <wp:positionV relativeFrom="paragraph">
                <wp:posOffset>-187997</wp:posOffset>
              </wp:positionV>
              <wp:extent cx="2356944" cy="988358"/>
              <wp:effectExtent l="0" t="0" r="5715" b="2540"/>
              <wp:wrapNone/>
              <wp:docPr id="4" name="CuadroTexto 3">
                <a:extLst xmlns:a="http://schemas.openxmlformats.org/drawingml/2006/main">
                  <a:ext uri="{FF2B5EF4-FFF2-40B4-BE49-F238E27FC236}">
                    <a16:creationId xmlns:a16="http://schemas.microsoft.com/office/drawing/2014/main" id="{1A85D2FF-330E-CCDA-D573-50C7654AF393}"/>
                  </a:ext>
                </a:extLst>
              </wp:docPr>
              <wp:cNvGraphicFramePr/>
              <a:graphic xmlns:a="http://schemas.openxmlformats.org/drawingml/2006/main">
                <a:graphicData uri="http://schemas.microsoft.com/office/word/2010/wordprocessingShape">
                  <wps:wsp>
                    <wps:cNvSpPr txBox="1"/>
                    <wps:spPr>
                      <a:xfrm>
                        <a:off x="0" y="0"/>
                        <a:ext cx="2356944" cy="988358"/>
                      </a:xfrm>
                      <a:prstGeom prst="rect">
                        <a:avLst/>
                      </a:prstGeom>
                      <a:solidFill>
                        <a:srgbClr val="CC0099"/>
                      </a:solidFill>
                    </wps:spPr>
                    <wps:txbx>
                      <w:txbxContent>
                        <w:p w14:paraId="608A3E53" w14:textId="76F002C8" w:rsidR="00CD3F55" w:rsidRDefault="00257D15" w:rsidP="00CD3F55">
                          <w:pPr>
                            <w:rPr>
                              <w:rFonts w:hAnsi="Calibri"/>
                              <w:b/>
                              <w:bCs/>
                              <w:color w:val="FFFFFF" w:themeColor="background1"/>
                              <w:kern w:val="24"/>
                              <w:sz w:val="36"/>
                              <w:szCs w:val="36"/>
                            </w:rPr>
                          </w:pPr>
                          <w:proofErr w:type="spellStart"/>
                          <w:r w:rsidRPr="00257D15">
                            <w:rPr>
                              <w:rFonts w:hAnsi="Calibri"/>
                              <w:b/>
                              <w:bCs/>
                              <w:color w:val="FFFFFF" w:themeColor="background1"/>
                              <w:kern w:val="24"/>
                              <w:sz w:val="36"/>
                              <w:szCs w:val="36"/>
                            </w:rPr>
                            <w:t>Notas</w:t>
                          </w:r>
                          <w:proofErr w:type="spellEnd"/>
                          <w:r w:rsidRPr="00257D15">
                            <w:rPr>
                              <w:rFonts w:hAnsi="Calibri"/>
                              <w:b/>
                              <w:bCs/>
                              <w:color w:val="FFFFFF" w:themeColor="background1"/>
                              <w:kern w:val="24"/>
                              <w:sz w:val="36"/>
                              <w:szCs w:val="36"/>
                            </w:rPr>
                            <w:t xml:space="preserve"> </w:t>
                          </w:r>
                          <w:proofErr w:type="spellStart"/>
                          <w:r w:rsidRPr="00257D15">
                            <w:rPr>
                              <w:rFonts w:hAnsi="Calibri"/>
                              <w:b/>
                              <w:bCs/>
                              <w:color w:val="FFFFFF" w:themeColor="background1"/>
                              <w:kern w:val="24"/>
                              <w:sz w:val="36"/>
                              <w:szCs w:val="36"/>
                            </w:rPr>
                            <w:t>preliminares</w:t>
                          </w:r>
                          <w:proofErr w:type="spellEnd"/>
                          <w:r w:rsidRPr="00257D15">
                            <w:rPr>
                              <w:rFonts w:hAnsi="Calibri"/>
                              <w:b/>
                              <w:bCs/>
                              <w:color w:val="FFFFFF" w:themeColor="background1"/>
                              <w:kern w:val="24"/>
                              <w:sz w:val="36"/>
                              <w:szCs w:val="36"/>
                            </w:rPr>
                            <w:t xml:space="preserve"> de </w:t>
                          </w:r>
                          <w:proofErr w:type="spellStart"/>
                          <w:r w:rsidRPr="00257D15">
                            <w:rPr>
                              <w:rFonts w:hAnsi="Calibri"/>
                              <w:b/>
                              <w:bCs/>
                              <w:color w:val="FFFFFF" w:themeColor="background1"/>
                              <w:kern w:val="24"/>
                              <w:sz w:val="36"/>
                              <w:szCs w:val="36"/>
                            </w:rPr>
                            <w:t>investigaciones</w:t>
                          </w:r>
                          <w:proofErr w:type="spellEnd"/>
                          <w:r w:rsidRPr="00257D15">
                            <w:rPr>
                              <w:rFonts w:hAnsi="Calibri"/>
                              <w:b/>
                              <w:bCs/>
                              <w:color w:val="FFFFFF" w:themeColor="background1"/>
                              <w:kern w:val="24"/>
                              <w:sz w:val="36"/>
                              <w:szCs w:val="36"/>
                            </w:rPr>
                            <w:t xml:space="preserve"> de </w:t>
                          </w:r>
                          <w:r w:rsidR="003C77AD">
                            <w:rPr>
                              <w:rFonts w:hAnsi="Calibri"/>
                              <w:b/>
                              <w:bCs/>
                              <w:color w:val="FFFFFF" w:themeColor="background1"/>
                              <w:kern w:val="24"/>
                              <w:sz w:val="36"/>
                              <w:szCs w:val="36"/>
                            </w:rPr>
                            <w:t>campo</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5495542" id="_x0000_t202" coordsize="21600,21600" o:spt="202" path="m,l,21600r21600,l21600,xe">
              <v:stroke joinstyle="miter"/>
              <v:path gradientshapeok="t" o:connecttype="rect"/>
            </v:shapetype>
            <v:shape id="CuadroTexto 3" o:spid="_x0000_s1026" type="#_x0000_t202" style="position:absolute;left:0;text-align:left;margin-left:311.45pt;margin-top:-14.8pt;width:185.6pt;height:7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" fillcolor="#c09" stroked="f">
              <v:textbox>
                <w:txbxContent>
                  <w:p w14:paraId="608A3E53" w14:textId="76F002C8" w:rsidR="00CD3F55" w:rsidRDefault="00257D15" w:rsidP="00CD3F55">
                    <w:pPr>
                      <w:rPr>
                        <w:rFonts w:hAnsi="Calibri"/>
                        <w:b/>
                        <w:bCs/>
                        <w:color w:val="FFFFFF" w:themeColor="background1"/>
                        <w:kern w:val="24"/>
                        <w:sz w:val="36"/>
                        <w:szCs w:val="36"/>
                      </w:rPr>
                    </w:pPr>
                    <w:proofErr w:type="spellStart"/>
                    <w:r w:rsidRPr="00257D15">
                      <w:rPr>
                        <w:rFonts w:hAnsi="Calibri"/>
                        <w:b/>
                        <w:bCs/>
                        <w:color w:val="FFFFFF" w:themeColor="background1"/>
                        <w:kern w:val="24"/>
                        <w:sz w:val="36"/>
                        <w:szCs w:val="36"/>
                      </w:rPr>
                      <w:t>Notas</w:t>
                    </w:r>
                    <w:proofErr w:type="spellEnd"/>
                    <w:r w:rsidRPr="00257D15">
                      <w:rPr>
                        <w:rFonts w:hAnsi="Calibri"/>
                        <w:b/>
                        <w:bCs/>
                        <w:color w:val="FFFFFF" w:themeColor="background1"/>
                        <w:kern w:val="24"/>
                        <w:sz w:val="36"/>
                        <w:szCs w:val="36"/>
                      </w:rPr>
                      <w:t xml:space="preserve"> </w:t>
                    </w:r>
                    <w:proofErr w:type="spellStart"/>
                    <w:r w:rsidRPr="00257D15">
                      <w:rPr>
                        <w:rFonts w:hAnsi="Calibri"/>
                        <w:b/>
                        <w:bCs/>
                        <w:color w:val="FFFFFF" w:themeColor="background1"/>
                        <w:kern w:val="24"/>
                        <w:sz w:val="36"/>
                        <w:szCs w:val="36"/>
                      </w:rPr>
                      <w:t>preliminares</w:t>
                    </w:r>
                    <w:proofErr w:type="spellEnd"/>
                    <w:r w:rsidRPr="00257D15">
                      <w:rPr>
                        <w:rFonts w:hAnsi="Calibri"/>
                        <w:b/>
                        <w:bCs/>
                        <w:color w:val="FFFFFF" w:themeColor="background1"/>
                        <w:kern w:val="24"/>
                        <w:sz w:val="36"/>
                        <w:szCs w:val="36"/>
                      </w:rPr>
                      <w:t xml:space="preserve"> de </w:t>
                    </w:r>
                    <w:proofErr w:type="spellStart"/>
                    <w:r w:rsidRPr="00257D15">
                      <w:rPr>
                        <w:rFonts w:hAnsi="Calibri"/>
                        <w:b/>
                        <w:bCs/>
                        <w:color w:val="FFFFFF" w:themeColor="background1"/>
                        <w:kern w:val="24"/>
                        <w:sz w:val="36"/>
                        <w:szCs w:val="36"/>
                      </w:rPr>
                      <w:t>investigaciones</w:t>
                    </w:r>
                    <w:proofErr w:type="spellEnd"/>
                    <w:r w:rsidRPr="00257D15">
                      <w:rPr>
                        <w:rFonts w:hAnsi="Calibri"/>
                        <w:b/>
                        <w:bCs/>
                        <w:color w:val="FFFFFF" w:themeColor="background1"/>
                        <w:kern w:val="24"/>
                        <w:sz w:val="36"/>
                        <w:szCs w:val="36"/>
                      </w:rPr>
                      <w:t xml:space="preserve"> de </w:t>
                    </w:r>
                    <w:r w:rsidR="003C77AD">
                      <w:rPr>
                        <w:rFonts w:hAnsi="Calibri"/>
                        <w:b/>
                        <w:bCs/>
                        <w:color w:val="FFFFFF" w:themeColor="background1"/>
                        <w:kern w:val="24"/>
                        <w:sz w:val="36"/>
                        <w:szCs w:val="36"/>
                      </w:rPr>
                      <w:t>campo</w:t>
                    </w:r>
                  </w:p>
                </w:txbxContent>
              </v:textbox>
            </v:shape>
          </w:pict>
        </mc:Fallback>
      </mc:AlternateContent>
    </w:r>
    <w:r w:rsidR="00537C10">
      <w:rPr>
        <w:noProof/>
      </w:rPr>
      <w:drawing>
        <wp:inline distT="0" distB="0" distL="0" distR="0" wp14:anchorId="6E599B4F" wp14:editId="02695F3F">
          <wp:extent cx="3177540" cy="1203325"/>
          <wp:effectExtent l="0" t="0" r="3810" b="0"/>
          <wp:docPr id="664751012" name="Imagen 664751012" descr="Interfaz de usuario gráfica, Texto, Aplicación, Carta,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Texto, Aplicación, Carta, Correo electrónic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3337251" cy="1263807"/>
                  </a:xfrm>
                  <a:prstGeom prst="rect">
                    <a:avLst/>
                  </a:prstGeom>
                </pic:spPr>
              </pic:pic>
            </a:graphicData>
          </a:graphic>
        </wp:inline>
      </w:drawing>
    </w:r>
    <w:r w:rsidR="007B6012">
      <w:t xml:space="preserve">                                                            </w:t>
    </w:r>
    <w:r w:rsidR="007B6012" w:rsidRPr="001D11DF">
      <w:rPr>
        <w:noProof/>
      </w:rPr>
      <w:drawing>
        <wp:inline distT="0" distB="0" distL="0" distR="0" wp14:anchorId="4F9587EE" wp14:editId="368C99F1">
          <wp:extent cx="1323975" cy="333375"/>
          <wp:effectExtent l="0" t="0" r="9525" b="9525"/>
          <wp:docPr id="1694301315" name="Imagen 1694301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323975" cy="333375"/>
                  </a:xfrm>
                  <a:prstGeom prst="rect">
                    <a:avLst/>
                  </a:prstGeom>
                </pic:spPr>
              </pic:pic>
            </a:graphicData>
          </a:graphic>
        </wp:inline>
      </w:drawing>
    </w:r>
    <w:r w:rsidR="00654D1E">
      <w:ptab w:relativeTo="margin" w:alignment="right" w:leader="none"/>
    </w:r>
  </w:p>
  <w:p w14:paraId="6D82C1EB" w14:textId="77777777" w:rsidR="00537C10" w:rsidRPr="00927301" w:rsidRDefault="00537C10" w:rsidP="00927301">
    <w:pPr>
      <w:pStyle w:val="IOPHeader"/>
    </w:pPr>
  </w:p>
  <w:p w14:paraId="36EA21B0" w14:textId="2D7BF672" w:rsidR="007442F6" w:rsidRDefault="00FD3668">
    <w:r>
      <w:t xml:space="preserve">Am J Field </w:t>
    </w:r>
    <w:proofErr w:type="spellStart"/>
    <w:r>
      <w:t>Epidemiol</w:t>
    </w:r>
    <w:proofErr w:type="spellEnd"/>
    <w:r>
      <w:t xml:space="preserve"> </w:t>
    </w:r>
    <w:r w:rsidR="009C5488">
      <w:t>202</w:t>
    </w:r>
    <w:r w:rsidR="007B5061">
      <w:t>4</w:t>
    </w:r>
    <w:r w:rsidR="009C5488">
      <w:t xml:space="preserve">; </w:t>
    </w:r>
    <w:r w:rsidR="003C77AD">
      <w:rPr>
        <w:b/>
      </w:rPr>
      <w:t>2</w:t>
    </w:r>
    <w:r>
      <w:t xml:space="preserve"> (</w:t>
    </w:r>
    <w:r w:rsidR="003C77AD">
      <w:t>2</w:t>
    </w:r>
    <w:r w:rsidR="00C97657">
      <w:t>):</w:t>
    </w:r>
    <w:r w:rsidR="00256920">
      <w:t xml:space="preserve"> </w:t>
    </w:r>
    <w:r w:rsidR="007B5061">
      <w:t>1</w:t>
    </w:r>
    <w:r w:rsidR="00C97657">
      <w:t>-</w:t>
    </w:r>
    <w:r w:rsidR="00260EDA">
      <w:t>4</w:t>
    </w:r>
    <w:r>
      <w:tab/>
    </w:r>
    <w:r>
      <w:tab/>
    </w:r>
    <w:r>
      <w:tab/>
    </w:r>
    <w:r>
      <w:tab/>
    </w:r>
    <w:r>
      <w:tab/>
    </w:r>
    <w:r>
      <w:tab/>
    </w:r>
    <w:bookmarkEnd w:id="1"/>
    <w:bookmarkEnd w:id="2"/>
    <w:proofErr w:type="spellStart"/>
    <w:r w:rsidR="00001AA0">
      <w:t>doi</w:t>
    </w:r>
    <w:proofErr w:type="spellEnd"/>
    <w:r w:rsidR="00001AA0">
      <w:t>:</w:t>
    </w:r>
    <w:r w:rsidR="00716B77" w:rsidRPr="00716B77">
      <w:t xml:space="preserve"> </w:t>
    </w:r>
    <w:r w:rsidR="00716B77" w:rsidRPr="00716B77">
      <w:t>10.59273/</w:t>
    </w:r>
    <w:proofErr w:type="gramStart"/>
    <w:r w:rsidR="00716B77" w:rsidRPr="00716B77">
      <w:t>ajfe.v</w:t>
    </w:r>
    <w:proofErr w:type="gramEnd"/>
    <w:r w:rsidR="00716B77" w:rsidRPr="00716B77">
      <w:t>2i2.10833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06D0A" w14:textId="77777777" w:rsidR="004F3D6E" w:rsidRPr="005444BE" w:rsidRDefault="004F3D6E" w:rsidP="004F3D6E">
    <w:pPr>
      <w:pStyle w:val="IOPHeader"/>
      <w:rPr>
        <w:lang w:val="en-US"/>
      </w:rPr>
    </w:pPr>
    <w:r w:rsidRPr="005444BE">
      <w:rPr>
        <w:lang w:val="en-US"/>
      </w:rPr>
      <w:t>Am J Field Epidemiol</w:t>
    </w:r>
    <w:r>
      <w:rPr>
        <w:lang w:val="en-US"/>
      </w:rPr>
      <w:t xml:space="preserve"> 2024;</w:t>
    </w:r>
    <w:r w:rsidRPr="005444BE">
      <w:rPr>
        <w:lang w:val="en-US"/>
      </w:rPr>
      <w:t xml:space="preserve"> </w:t>
    </w:r>
    <w:r>
      <w:rPr>
        <w:b/>
        <w:lang w:val="en-US"/>
      </w:rPr>
      <w:t>2</w:t>
    </w:r>
    <w:r w:rsidRPr="005444BE">
      <w:rPr>
        <w:lang w:val="en-US"/>
      </w:rPr>
      <w:t xml:space="preserve"> (</w:t>
    </w:r>
    <w:r>
      <w:rPr>
        <w:lang w:val="en-US"/>
      </w:rPr>
      <w:t>2</w:t>
    </w:r>
    <w:r w:rsidRPr="005444BE">
      <w:rPr>
        <w:lang w:val="en-US"/>
      </w:rPr>
      <w:t>)</w:t>
    </w:r>
    <w:r>
      <w:rPr>
        <w:lang w:val="en-US"/>
      </w:rPr>
      <w:t>:</w:t>
    </w:r>
    <w:r w:rsidRPr="005444BE">
      <w:rPr>
        <w:lang w:val="en-US"/>
      </w:rPr>
      <w:t xml:space="preserve"> </w:t>
    </w:r>
    <w:r>
      <w:rPr>
        <w:lang w:val="en-US"/>
      </w:rPr>
      <w:t>1-4</w:t>
    </w:r>
    <w:r>
      <w:ptab w:relativeTo="margin" w:alignment="right" w:leader="none"/>
    </w:r>
    <w:r w:rsidRPr="00C96800">
      <w:t xml:space="preserve"> </w:t>
    </w:r>
    <w:r>
      <w:t xml:space="preserve">Barajas </w:t>
    </w:r>
    <w:r w:rsidRPr="00FC60C1">
      <w:rPr>
        <w:i/>
        <w:sz w:val="20"/>
        <w:szCs w:val="20"/>
        <w:lang w:val="en-US"/>
      </w:rPr>
      <w:t>et al</w:t>
    </w:r>
    <w:r w:rsidRPr="005444BE">
      <w:rPr>
        <w:lang w:val="en-US"/>
      </w:rPr>
      <w:t xml:space="preserve"> </w:t>
    </w:r>
  </w:p>
  <w:p w14:paraId="3E71C4E0" w14:textId="77777777" w:rsidR="004F3D6E" w:rsidRDefault="004F3D6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9ED6F" w14:textId="36298874" w:rsidR="009536C0" w:rsidRPr="005444BE" w:rsidRDefault="005444BE" w:rsidP="009536C0">
    <w:pPr>
      <w:pStyle w:val="IOPHeader"/>
      <w:rPr>
        <w:lang w:val="en-US"/>
      </w:rPr>
    </w:pPr>
    <w:r w:rsidRPr="005444BE">
      <w:rPr>
        <w:lang w:val="en-US"/>
      </w:rPr>
      <w:t>Am J Field Epidemiol</w:t>
    </w:r>
    <w:r w:rsidR="00256920">
      <w:rPr>
        <w:lang w:val="en-US"/>
      </w:rPr>
      <w:t xml:space="preserve"> 202</w:t>
    </w:r>
    <w:r w:rsidR="00701417">
      <w:rPr>
        <w:lang w:val="en-US"/>
      </w:rPr>
      <w:t>4</w:t>
    </w:r>
    <w:r w:rsidR="00256920">
      <w:rPr>
        <w:lang w:val="en-US"/>
      </w:rPr>
      <w:t>;</w:t>
    </w:r>
    <w:r w:rsidR="009536C0" w:rsidRPr="005444BE">
      <w:rPr>
        <w:lang w:val="en-US"/>
      </w:rPr>
      <w:t xml:space="preserve"> </w:t>
    </w:r>
    <w:r w:rsidR="004F3D6E">
      <w:rPr>
        <w:b/>
        <w:lang w:val="en-US"/>
      </w:rPr>
      <w:t>2</w:t>
    </w:r>
    <w:r w:rsidR="009536C0" w:rsidRPr="005444BE">
      <w:rPr>
        <w:lang w:val="en-US"/>
      </w:rPr>
      <w:t xml:space="preserve"> (</w:t>
    </w:r>
    <w:r w:rsidR="004F3D6E">
      <w:rPr>
        <w:lang w:val="en-US"/>
      </w:rPr>
      <w:t>2</w:t>
    </w:r>
    <w:r w:rsidR="009536C0" w:rsidRPr="005444BE">
      <w:rPr>
        <w:lang w:val="en-US"/>
      </w:rPr>
      <w:t>)</w:t>
    </w:r>
    <w:r w:rsidR="00256920">
      <w:rPr>
        <w:lang w:val="en-US"/>
      </w:rPr>
      <w:t>:</w:t>
    </w:r>
    <w:r w:rsidR="009536C0" w:rsidRPr="005444BE">
      <w:rPr>
        <w:lang w:val="en-US"/>
      </w:rPr>
      <w:t xml:space="preserve"> </w:t>
    </w:r>
    <w:r w:rsidR="00701417">
      <w:rPr>
        <w:lang w:val="en-US"/>
      </w:rPr>
      <w:t>1</w:t>
    </w:r>
    <w:r w:rsidR="0066303F">
      <w:rPr>
        <w:lang w:val="en-US"/>
      </w:rPr>
      <w:t>-</w:t>
    </w:r>
    <w:r w:rsidR="004F3D6E">
      <w:rPr>
        <w:lang w:val="en-US"/>
      </w:rPr>
      <w:t>4</w:t>
    </w:r>
    <w:r w:rsidR="009536C0">
      <w:ptab w:relativeTo="margin" w:alignment="right" w:leader="none"/>
    </w:r>
    <w:r w:rsidR="00C96800" w:rsidRPr="00C96800">
      <w:t xml:space="preserve"> </w:t>
    </w:r>
    <w:r w:rsidR="004F3D6E">
      <w:t>Barajas</w:t>
    </w:r>
    <w:r w:rsidR="00701417">
      <w:t xml:space="preserve"> </w:t>
    </w:r>
    <w:r w:rsidR="009536C0" w:rsidRPr="00FC60C1">
      <w:rPr>
        <w:i/>
        <w:sz w:val="20"/>
        <w:szCs w:val="20"/>
        <w:lang w:val="en-US"/>
      </w:rPr>
      <w:t>et al</w:t>
    </w:r>
    <w:r w:rsidR="009536C0" w:rsidRPr="005444BE">
      <w:rPr>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FA8EE" w14:textId="665FCB89" w:rsidR="00C96800" w:rsidRPr="005444BE" w:rsidRDefault="00C96800" w:rsidP="00C96800">
    <w:pPr>
      <w:pStyle w:val="IOPHeader"/>
      <w:rPr>
        <w:lang w:val="en-US"/>
      </w:rPr>
    </w:pPr>
    <w:r w:rsidRPr="005444BE">
      <w:rPr>
        <w:lang w:val="en-US"/>
      </w:rPr>
      <w:t xml:space="preserve">Am J Field Epidemiol </w:t>
    </w:r>
    <w:r>
      <w:rPr>
        <w:b/>
        <w:lang w:val="en-US"/>
      </w:rPr>
      <w:t>1</w:t>
    </w:r>
    <w:r w:rsidRPr="005444BE">
      <w:rPr>
        <w:lang w:val="en-US"/>
      </w:rPr>
      <w:t xml:space="preserve"> (</w:t>
    </w:r>
    <w:r>
      <w:rPr>
        <w:lang w:val="en-US"/>
      </w:rPr>
      <w:t>1</w:t>
    </w:r>
    <w:r w:rsidRPr="005444BE">
      <w:rPr>
        <w:lang w:val="en-US"/>
      </w:rPr>
      <w:t xml:space="preserve">) </w:t>
    </w:r>
    <w:r>
      <w:rPr>
        <w:lang w:val="en-US"/>
      </w:rPr>
      <w:t>1-12</w:t>
    </w:r>
    <w:r>
      <w:ptab w:relativeTo="margin" w:alignment="right" w:leader="none"/>
    </w:r>
    <w:r w:rsidR="00306940">
      <w:t xml:space="preserve">Cardenas </w:t>
    </w:r>
    <w:r w:rsidRPr="00FC60C1">
      <w:rPr>
        <w:i/>
        <w:sz w:val="20"/>
        <w:szCs w:val="20"/>
        <w:lang w:val="en-US"/>
      </w:rPr>
      <w:t>et al</w:t>
    </w:r>
    <w:r w:rsidRPr="005444BE">
      <w:rPr>
        <w:lang w:val="en-US"/>
      </w:rPr>
      <w:t xml:space="preserve"> </w:t>
    </w:r>
  </w:p>
  <w:p w14:paraId="64DD162A" w14:textId="77777777" w:rsidR="00C96800" w:rsidRPr="00C96800" w:rsidRDefault="00C96800">
    <w:pPr>
      <w:pStyle w:val="Encabezad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4A106C"/>
    <w:multiLevelType w:val="hybridMultilevel"/>
    <w:tmpl w:val="57804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D63530"/>
    <w:multiLevelType w:val="hybridMultilevel"/>
    <w:tmpl w:val="2DB02EAC"/>
    <w:lvl w:ilvl="0" w:tplc="F9D4D22E">
      <w:start w:val="1"/>
      <w:numFmt w:val="decimal"/>
      <w:pStyle w:val="IOPRefs"/>
      <w:lvlText w:val="[%1]"/>
      <w:lvlJc w:val="left"/>
      <w:pPr>
        <w:tabs>
          <w:tab w:val="num" w:pos="284"/>
        </w:tabs>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B86EC7"/>
    <w:multiLevelType w:val="hybridMultilevel"/>
    <w:tmpl w:val="9D229CDC"/>
    <w:lvl w:ilvl="0" w:tplc="18920622">
      <w:start w:val="1"/>
      <w:numFmt w:val="decimal"/>
      <w:lvlText w:val="%1."/>
      <w:lvlJc w:val="left"/>
      <w:pPr>
        <w:ind w:left="720" w:hanging="360"/>
      </w:pPr>
      <w:rPr>
        <w:rFonts w:ascii="Times New Roman" w:hAnsi="Times New Roman" w:hint="default"/>
        <w:b w:val="0"/>
        <w:i w:val="0"/>
        <w:sz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EEF5092"/>
    <w:multiLevelType w:val="hybridMultilevel"/>
    <w:tmpl w:val="C7268F48"/>
    <w:lvl w:ilvl="0" w:tplc="0534EA68">
      <w:start w:val="1"/>
      <w:numFmt w:val="decimal"/>
      <w:lvlText w:val="%1."/>
      <w:lvlJc w:val="left"/>
      <w:pPr>
        <w:ind w:left="720" w:hanging="360"/>
      </w:pPr>
      <w:rPr>
        <w:rFonts w:ascii="Times New Roman" w:hAnsi="Times New Roman" w:hint="default"/>
        <w:b w:val="0"/>
        <w:i w:val="0"/>
        <w:caps w:val="0"/>
        <w:strike w:val="0"/>
        <w:dstrike w:val="0"/>
        <w:vanish w:val="0"/>
        <w:w w:val="127"/>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A67EE4"/>
    <w:multiLevelType w:val="hybridMultilevel"/>
    <w:tmpl w:val="6F7C57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8C5CEC"/>
    <w:multiLevelType w:val="hybridMultilevel"/>
    <w:tmpl w:val="0B9CE33E"/>
    <w:lvl w:ilvl="0" w:tplc="72D4C4C2">
      <w:start w:val="1"/>
      <w:numFmt w:val="decimal"/>
      <w:lvlText w:val="%1."/>
      <w:lvlJc w:val="left"/>
      <w:pPr>
        <w:ind w:left="644"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08434A"/>
    <w:multiLevelType w:val="hybridMultilevel"/>
    <w:tmpl w:val="3EFCC9C8"/>
    <w:lvl w:ilvl="0" w:tplc="BA549D40">
      <w:start w:val="1"/>
      <w:numFmt w:val="decimal"/>
      <w:lvlText w:val="%1."/>
      <w:lvlJc w:val="left"/>
      <w:pPr>
        <w:ind w:left="720" w:hanging="360"/>
      </w:pPr>
      <w:rPr>
        <w:rFonts w:ascii="Times New Roman" w:hAnsi="Times New Roman" w:hint="default"/>
        <w:b w:val="0"/>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1F174AC"/>
    <w:multiLevelType w:val="hybridMultilevel"/>
    <w:tmpl w:val="D200EA44"/>
    <w:lvl w:ilvl="0" w:tplc="712AD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B70C62"/>
    <w:multiLevelType w:val="hybridMultilevel"/>
    <w:tmpl w:val="D28E4B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64F651E"/>
    <w:multiLevelType w:val="hybridMultilevel"/>
    <w:tmpl w:val="449C7A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E73E22"/>
    <w:multiLevelType w:val="hybridMultilevel"/>
    <w:tmpl w:val="891A0B8A"/>
    <w:lvl w:ilvl="0" w:tplc="38AA25C6">
      <w:start w:val="1"/>
      <w:numFmt w:val="decimal"/>
      <w:lvlText w:val="[%1]"/>
      <w:lvlJc w:val="left"/>
      <w:pPr>
        <w:tabs>
          <w:tab w:val="num" w:pos="284"/>
        </w:tabs>
        <w:ind w:left="284" w:firstLine="7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01A64E5"/>
    <w:multiLevelType w:val="hybridMultilevel"/>
    <w:tmpl w:val="808CFAA4"/>
    <w:lvl w:ilvl="0" w:tplc="4A2A984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946EDE"/>
    <w:multiLevelType w:val="hybridMultilevel"/>
    <w:tmpl w:val="95288524"/>
    <w:lvl w:ilvl="0" w:tplc="0809000F">
      <w:start w:val="1"/>
      <w:numFmt w:val="decimal"/>
      <w:lvlText w:val="%1."/>
      <w:lvlJc w:val="left"/>
      <w:pPr>
        <w:ind w:left="587" w:hanging="360"/>
      </w:pPr>
      <w:rPr>
        <w:rFonts w:hint="default"/>
      </w:rPr>
    </w:lvl>
    <w:lvl w:ilvl="1" w:tplc="08090019" w:tentative="1">
      <w:start w:val="1"/>
      <w:numFmt w:val="lowerLetter"/>
      <w:lvlText w:val="%2."/>
      <w:lvlJc w:val="left"/>
      <w:pPr>
        <w:ind w:left="1307" w:hanging="360"/>
      </w:pPr>
    </w:lvl>
    <w:lvl w:ilvl="2" w:tplc="0809001B" w:tentative="1">
      <w:start w:val="1"/>
      <w:numFmt w:val="lowerRoman"/>
      <w:lvlText w:val="%3."/>
      <w:lvlJc w:val="right"/>
      <w:pPr>
        <w:ind w:left="2027" w:hanging="180"/>
      </w:pPr>
    </w:lvl>
    <w:lvl w:ilvl="3" w:tplc="0809000F" w:tentative="1">
      <w:start w:val="1"/>
      <w:numFmt w:val="decimal"/>
      <w:lvlText w:val="%4."/>
      <w:lvlJc w:val="left"/>
      <w:pPr>
        <w:ind w:left="2747" w:hanging="360"/>
      </w:pPr>
    </w:lvl>
    <w:lvl w:ilvl="4" w:tplc="08090019" w:tentative="1">
      <w:start w:val="1"/>
      <w:numFmt w:val="lowerLetter"/>
      <w:lvlText w:val="%5."/>
      <w:lvlJc w:val="left"/>
      <w:pPr>
        <w:ind w:left="3467" w:hanging="360"/>
      </w:pPr>
    </w:lvl>
    <w:lvl w:ilvl="5" w:tplc="0809001B" w:tentative="1">
      <w:start w:val="1"/>
      <w:numFmt w:val="lowerRoman"/>
      <w:lvlText w:val="%6."/>
      <w:lvlJc w:val="right"/>
      <w:pPr>
        <w:ind w:left="4187" w:hanging="180"/>
      </w:pPr>
    </w:lvl>
    <w:lvl w:ilvl="6" w:tplc="0809000F" w:tentative="1">
      <w:start w:val="1"/>
      <w:numFmt w:val="decimal"/>
      <w:lvlText w:val="%7."/>
      <w:lvlJc w:val="left"/>
      <w:pPr>
        <w:ind w:left="4907" w:hanging="360"/>
      </w:pPr>
    </w:lvl>
    <w:lvl w:ilvl="7" w:tplc="08090019" w:tentative="1">
      <w:start w:val="1"/>
      <w:numFmt w:val="lowerLetter"/>
      <w:lvlText w:val="%8."/>
      <w:lvlJc w:val="left"/>
      <w:pPr>
        <w:ind w:left="5627" w:hanging="360"/>
      </w:pPr>
    </w:lvl>
    <w:lvl w:ilvl="8" w:tplc="0809001B" w:tentative="1">
      <w:start w:val="1"/>
      <w:numFmt w:val="lowerRoman"/>
      <w:lvlText w:val="%9."/>
      <w:lvlJc w:val="right"/>
      <w:pPr>
        <w:ind w:left="6347" w:hanging="180"/>
      </w:pPr>
    </w:lvl>
  </w:abstractNum>
  <w:num w:numId="1" w16cid:durableId="463935854">
    <w:abstractNumId w:val="10"/>
  </w:num>
  <w:num w:numId="2" w16cid:durableId="1945652031">
    <w:abstractNumId w:val="1"/>
  </w:num>
  <w:num w:numId="3" w16cid:durableId="527639514">
    <w:abstractNumId w:val="4"/>
  </w:num>
  <w:num w:numId="4" w16cid:durableId="2016110056">
    <w:abstractNumId w:val="12"/>
  </w:num>
  <w:num w:numId="5" w16cid:durableId="1947687338">
    <w:abstractNumId w:val="9"/>
  </w:num>
  <w:num w:numId="6" w16cid:durableId="372922112">
    <w:abstractNumId w:val="11"/>
  </w:num>
  <w:num w:numId="7" w16cid:durableId="752825197">
    <w:abstractNumId w:val="0"/>
  </w:num>
  <w:num w:numId="8" w16cid:durableId="658538249">
    <w:abstractNumId w:val="5"/>
  </w:num>
  <w:num w:numId="9" w16cid:durableId="1490445072">
    <w:abstractNumId w:val="7"/>
  </w:num>
  <w:num w:numId="10" w16cid:durableId="1630889601">
    <w:abstractNumId w:val="3"/>
  </w:num>
  <w:num w:numId="11" w16cid:durableId="1775397164">
    <w:abstractNumId w:val="8"/>
  </w:num>
  <w:num w:numId="12" w16cid:durableId="515458586">
    <w:abstractNumId w:val="2"/>
  </w:num>
  <w:num w:numId="13" w16cid:durableId="5203169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AD1"/>
    <w:rsid w:val="00001AA0"/>
    <w:rsid w:val="00002205"/>
    <w:rsid w:val="00011A9D"/>
    <w:rsid w:val="00014AD5"/>
    <w:rsid w:val="0001731D"/>
    <w:rsid w:val="0003346E"/>
    <w:rsid w:val="00034936"/>
    <w:rsid w:val="00037187"/>
    <w:rsid w:val="00037F2C"/>
    <w:rsid w:val="00046B64"/>
    <w:rsid w:val="00050A4A"/>
    <w:rsid w:val="00050E3E"/>
    <w:rsid w:val="00056022"/>
    <w:rsid w:val="000566D6"/>
    <w:rsid w:val="00057D12"/>
    <w:rsid w:val="0006239E"/>
    <w:rsid w:val="00062C5D"/>
    <w:rsid w:val="00076163"/>
    <w:rsid w:val="0008052A"/>
    <w:rsid w:val="00082F36"/>
    <w:rsid w:val="000908F4"/>
    <w:rsid w:val="00093A76"/>
    <w:rsid w:val="000A1652"/>
    <w:rsid w:val="000A33FC"/>
    <w:rsid w:val="000A4DEA"/>
    <w:rsid w:val="000A7903"/>
    <w:rsid w:val="000B23F0"/>
    <w:rsid w:val="000B724C"/>
    <w:rsid w:val="000C5C3C"/>
    <w:rsid w:val="000C6AD1"/>
    <w:rsid w:val="000E0532"/>
    <w:rsid w:val="000F2523"/>
    <w:rsid w:val="000F4DB2"/>
    <w:rsid w:val="000F6FBA"/>
    <w:rsid w:val="00106B3A"/>
    <w:rsid w:val="001110F7"/>
    <w:rsid w:val="001320D1"/>
    <w:rsid w:val="00141B92"/>
    <w:rsid w:val="00142B49"/>
    <w:rsid w:val="0014511D"/>
    <w:rsid w:val="00147E94"/>
    <w:rsid w:val="00160B66"/>
    <w:rsid w:val="00160E54"/>
    <w:rsid w:val="001642D7"/>
    <w:rsid w:val="00164691"/>
    <w:rsid w:val="00172752"/>
    <w:rsid w:val="00173CC8"/>
    <w:rsid w:val="00175E75"/>
    <w:rsid w:val="001775D1"/>
    <w:rsid w:val="001877A3"/>
    <w:rsid w:val="00197D90"/>
    <w:rsid w:val="001A5F32"/>
    <w:rsid w:val="001A7F8C"/>
    <w:rsid w:val="001B3D0C"/>
    <w:rsid w:val="001C367D"/>
    <w:rsid w:val="001C4E96"/>
    <w:rsid w:val="001C65DE"/>
    <w:rsid w:val="001D11DF"/>
    <w:rsid w:val="001D2632"/>
    <w:rsid w:val="001D685C"/>
    <w:rsid w:val="001E1F33"/>
    <w:rsid w:val="001E6C2D"/>
    <w:rsid w:val="001F3547"/>
    <w:rsid w:val="001F633D"/>
    <w:rsid w:val="002047FB"/>
    <w:rsid w:val="0021311F"/>
    <w:rsid w:val="00213F34"/>
    <w:rsid w:val="0022256E"/>
    <w:rsid w:val="0023067B"/>
    <w:rsid w:val="00237FD0"/>
    <w:rsid w:val="00241C02"/>
    <w:rsid w:val="00244E57"/>
    <w:rsid w:val="002459C4"/>
    <w:rsid w:val="0025162D"/>
    <w:rsid w:val="00255326"/>
    <w:rsid w:val="00256920"/>
    <w:rsid w:val="00257D15"/>
    <w:rsid w:val="00260EDA"/>
    <w:rsid w:val="002615E0"/>
    <w:rsid w:val="00263C15"/>
    <w:rsid w:val="002665BA"/>
    <w:rsid w:val="002734C6"/>
    <w:rsid w:val="002755B5"/>
    <w:rsid w:val="002813CB"/>
    <w:rsid w:val="00284F57"/>
    <w:rsid w:val="00286458"/>
    <w:rsid w:val="002871DF"/>
    <w:rsid w:val="00296E6B"/>
    <w:rsid w:val="00297E1A"/>
    <w:rsid w:val="002A27AC"/>
    <w:rsid w:val="002C23B8"/>
    <w:rsid w:val="002C5705"/>
    <w:rsid w:val="002D2B1C"/>
    <w:rsid w:val="002E7409"/>
    <w:rsid w:val="002F09BD"/>
    <w:rsid w:val="00306940"/>
    <w:rsid w:val="00311B18"/>
    <w:rsid w:val="0031527A"/>
    <w:rsid w:val="00322803"/>
    <w:rsid w:val="0032510E"/>
    <w:rsid w:val="00332F98"/>
    <w:rsid w:val="00335A0D"/>
    <w:rsid w:val="00341F37"/>
    <w:rsid w:val="00342580"/>
    <w:rsid w:val="00352DA0"/>
    <w:rsid w:val="00363616"/>
    <w:rsid w:val="003674B2"/>
    <w:rsid w:val="00377B52"/>
    <w:rsid w:val="00383CA6"/>
    <w:rsid w:val="0039501B"/>
    <w:rsid w:val="00396087"/>
    <w:rsid w:val="003A5833"/>
    <w:rsid w:val="003B50C8"/>
    <w:rsid w:val="003C03BF"/>
    <w:rsid w:val="003C6589"/>
    <w:rsid w:val="003C77AD"/>
    <w:rsid w:val="003E0593"/>
    <w:rsid w:val="003E3331"/>
    <w:rsid w:val="003F0F81"/>
    <w:rsid w:val="00405097"/>
    <w:rsid w:val="0041078C"/>
    <w:rsid w:val="0041293D"/>
    <w:rsid w:val="00423761"/>
    <w:rsid w:val="004251BF"/>
    <w:rsid w:val="00431714"/>
    <w:rsid w:val="00457093"/>
    <w:rsid w:val="0046419F"/>
    <w:rsid w:val="0046531D"/>
    <w:rsid w:val="0046774A"/>
    <w:rsid w:val="00470914"/>
    <w:rsid w:val="004808A1"/>
    <w:rsid w:val="004820FB"/>
    <w:rsid w:val="00493B7D"/>
    <w:rsid w:val="004A3755"/>
    <w:rsid w:val="004B0703"/>
    <w:rsid w:val="004B463E"/>
    <w:rsid w:val="004D0222"/>
    <w:rsid w:val="004D2C0F"/>
    <w:rsid w:val="004D2E4E"/>
    <w:rsid w:val="004D6754"/>
    <w:rsid w:val="004E034A"/>
    <w:rsid w:val="004E1AEF"/>
    <w:rsid w:val="004E60F3"/>
    <w:rsid w:val="004F2DDB"/>
    <w:rsid w:val="004F3D6E"/>
    <w:rsid w:val="00512B88"/>
    <w:rsid w:val="00514512"/>
    <w:rsid w:val="00517B22"/>
    <w:rsid w:val="005223F4"/>
    <w:rsid w:val="00524E82"/>
    <w:rsid w:val="00536C5E"/>
    <w:rsid w:val="00536C8E"/>
    <w:rsid w:val="00537C10"/>
    <w:rsid w:val="005444BE"/>
    <w:rsid w:val="005456FE"/>
    <w:rsid w:val="00546A0B"/>
    <w:rsid w:val="0054725C"/>
    <w:rsid w:val="00547BD8"/>
    <w:rsid w:val="00547F7F"/>
    <w:rsid w:val="005526B8"/>
    <w:rsid w:val="0055274C"/>
    <w:rsid w:val="00552959"/>
    <w:rsid w:val="005567A2"/>
    <w:rsid w:val="00572FCE"/>
    <w:rsid w:val="00573B2E"/>
    <w:rsid w:val="00574C8A"/>
    <w:rsid w:val="00584AA3"/>
    <w:rsid w:val="00593C5E"/>
    <w:rsid w:val="00596205"/>
    <w:rsid w:val="005A35ED"/>
    <w:rsid w:val="005C233F"/>
    <w:rsid w:val="005C7E65"/>
    <w:rsid w:val="005D7C02"/>
    <w:rsid w:val="005E038B"/>
    <w:rsid w:val="005E10F1"/>
    <w:rsid w:val="005E5346"/>
    <w:rsid w:val="005F52C2"/>
    <w:rsid w:val="005F79AC"/>
    <w:rsid w:val="006004E3"/>
    <w:rsid w:val="00604EEA"/>
    <w:rsid w:val="00604F2D"/>
    <w:rsid w:val="00614FE3"/>
    <w:rsid w:val="006221E2"/>
    <w:rsid w:val="006228A2"/>
    <w:rsid w:val="00633ECF"/>
    <w:rsid w:val="00635CD4"/>
    <w:rsid w:val="00641F71"/>
    <w:rsid w:val="00644683"/>
    <w:rsid w:val="00652345"/>
    <w:rsid w:val="00654D1E"/>
    <w:rsid w:val="00655985"/>
    <w:rsid w:val="006616FD"/>
    <w:rsid w:val="0066303F"/>
    <w:rsid w:val="00665BAA"/>
    <w:rsid w:val="00666ABF"/>
    <w:rsid w:val="0067176E"/>
    <w:rsid w:val="0067506B"/>
    <w:rsid w:val="006758A2"/>
    <w:rsid w:val="006772A0"/>
    <w:rsid w:val="006775C4"/>
    <w:rsid w:val="00681B47"/>
    <w:rsid w:val="00681C8D"/>
    <w:rsid w:val="0068451C"/>
    <w:rsid w:val="006B0618"/>
    <w:rsid w:val="006B089D"/>
    <w:rsid w:val="006B1822"/>
    <w:rsid w:val="006B2089"/>
    <w:rsid w:val="006B299D"/>
    <w:rsid w:val="006B4060"/>
    <w:rsid w:val="006B7A48"/>
    <w:rsid w:val="006C404E"/>
    <w:rsid w:val="006C4DA1"/>
    <w:rsid w:val="006E668E"/>
    <w:rsid w:val="006F090A"/>
    <w:rsid w:val="006F4491"/>
    <w:rsid w:val="00701417"/>
    <w:rsid w:val="007053E0"/>
    <w:rsid w:val="00706BF9"/>
    <w:rsid w:val="0071614B"/>
    <w:rsid w:val="007161F3"/>
    <w:rsid w:val="00716B77"/>
    <w:rsid w:val="00725BE5"/>
    <w:rsid w:val="0073154D"/>
    <w:rsid w:val="00733AA4"/>
    <w:rsid w:val="00737C88"/>
    <w:rsid w:val="007442F6"/>
    <w:rsid w:val="0074527E"/>
    <w:rsid w:val="0075162E"/>
    <w:rsid w:val="007536DB"/>
    <w:rsid w:val="00756817"/>
    <w:rsid w:val="007654E8"/>
    <w:rsid w:val="007731D5"/>
    <w:rsid w:val="00773E97"/>
    <w:rsid w:val="00784538"/>
    <w:rsid w:val="00785A80"/>
    <w:rsid w:val="0078689E"/>
    <w:rsid w:val="00793E9C"/>
    <w:rsid w:val="007A00B5"/>
    <w:rsid w:val="007B15CF"/>
    <w:rsid w:val="007B2D9A"/>
    <w:rsid w:val="007B5061"/>
    <w:rsid w:val="007B6012"/>
    <w:rsid w:val="007B6670"/>
    <w:rsid w:val="007B7259"/>
    <w:rsid w:val="007C7D9E"/>
    <w:rsid w:val="007D1986"/>
    <w:rsid w:val="007E2043"/>
    <w:rsid w:val="007E32B1"/>
    <w:rsid w:val="007F1034"/>
    <w:rsid w:val="007F1F29"/>
    <w:rsid w:val="007F4F63"/>
    <w:rsid w:val="00804807"/>
    <w:rsid w:val="00811140"/>
    <w:rsid w:val="0081358D"/>
    <w:rsid w:val="00827CCA"/>
    <w:rsid w:val="0083656A"/>
    <w:rsid w:val="00837A72"/>
    <w:rsid w:val="00844DD2"/>
    <w:rsid w:val="008523F1"/>
    <w:rsid w:val="00873707"/>
    <w:rsid w:val="0087550C"/>
    <w:rsid w:val="00875AA7"/>
    <w:rsid w:val="00895CC8"/>
    <w:rsid w:val="008A2851"/>
    <w:rsid w:val="008A295E"/>
    <w:rsid w:val="008A6FE1"/>
    <w:rsid w:val="008B277B"/>
    <w:rsid w:val="008B27AE"/>
    <w:rsid w:val="008B6A39"/>
    <w:rsid w:val="008D026B"/>
    <w:rsid w:val="008D086A"/>
    <w:rsid w:val="008D3F5F"/>
    <w:rsid w:val="008D59E9"/>
    <w:rsid w:val="008E0C3B"/>
    <w:rsid w:val="008F333A"/>
    <w:rsid w:val="00900764"/>
    <w:rsid w:val="0090476F"/>
    <w:rsid w:val="00906F7F"/>
    <w:rsid w:val="009119BA"/>
    <w:rsid w:val="0091631C"/>
    <w:rsid w:val="00927301"/>
    <w:rsid w:val="00934D1A"/>
    <w:rsid w:val="009472CD"/>
    <w:rsid w:val="00947CC1"/>
    <w:rsid w:val="00947EA2"/>
    <w:rsid w:val="00950269"/>
    <w:rsid w:val="00952556"/>
    <w:rsid w:val="009536C0"/>
    <w:rsid w:val="00955E3B"/>
    <w:rsid w:val="00960010"/>
    <w:rsid w:val="00964DD6"/>
    <w:rsid w:val="00965B8A"/>
    <w:rsid w:val="00975E23"/>
    <w:rsid w:val="0098399F"/>
    <w:rsid w:val="00983A21"/>
    <w:rsid w:val="009863B7"/>
    <w:rsid w:val="009922C1"/>
    <w:rsid w:val="009951C9"/>
    <w:rsid w:val="00997740"/>
    <w:rsid w:val="009A5A19"/>
    <w:rsid w:val="009A5C7A"/>
    <w:rsid w:val="009A750F"/>
    <w:rsid w:val="009B0A6C"/>
    <w:rsid w:val="009C5488"/>
    <w:rsid w:val="009C5F5E"/>
    <w:rsid w:val="009D2037"/>
    <w:rsid w:val="009D60DE"/>
    <w:rsid w:val="009E2E48"/>
    <w:rsid w:val="009E44BA"/>
    <w:rsid w:val="009F033C"/>
    <w:rsid w:val="009F2AC3"/>
    <w:rsid w:val="009F6066"/>
    <w:rsid w:val="009F660B"/>
    <w:rsid w:val="009F79F3"/>
    <w:rsid w:val="00A06AAC"/>
    <w:rsid w:val="00A130E7"/>
    <w:rsid w:val="00A21CD3"/>
    <w:rsid w:val="00A264C8"/>
    <w:rsid w:val="00A35883"/>
    <w:rsid w:val="00A36623"/>
    <w:rsid w:val="00A368EF"/>
    <w:rsid w:val="00A40AFB"/>
    <w:rsid w:val="00A41E1D"/>
    <w:rsid w:val="00A44F3B"/>
    <w:rsid w:val="00A515ED"/>
    <w:rsid w:val="00A51C47"/>
    <w:rsid w:val="00A52C0B"/>
    <w:rsid w:val="00A53826"/>
    <w:rsid w:val="00A54FC7"/>
    <w:rsid w:val="00A56382"/>
    <w:rsid w:val="00A57625"/>
    <w:rsid w:val="00A61329"/>
    <w:rsid w:val="00A62067"/>
    <w:rsid w:val="00AA57EF"/>
    <w:rsid w:val="00AB235F"/>
    <w:rsid w:val="00AC24A0"/>
    <w:rsid w:val="00AC3B11"/>
    <w:rsid w:val="00AC4AC6"/>
    <w:rsid w:val="00AC5636"/>
    <w:rsid w:val="00AC6358"/>
    <w:rsid w:val="00AC6B6C"/>
    <w:rsid w:val="00AC7B44"/>
    <w:rsid w:val="00AD1022"/>
    <w:rsid w:val="00AD75FD"/>
    <w:rsid w:val="00AD7FBF"/>
    <w:rsid w:val="00AE324C"/>
    <w:rsid w:val="00AF20A0"/>
    <w:rsid w:val="00B03EEC"/>
    <w:rsid w:val="00B13048"/>
    <w:rsid w:val="00B15882"/>
    <w:rsid w:val="00B16C30"/>
    <w:rsid w:val="00B25F9D"/>
    <w:rsid w:val="00B31431"/>
    <w:rsid w:val="00B31708"/>
    <w:rsid w:val="00B31D49"/>
    <w:rsid w:val="00B362E0"/>
    <w:rsid w:val="00B402CA"/>
    <w:rsid w:val="00B413C4"/>
    <w:rsid w:val="00B4298C"/>
    <w:rsid w:val="00B47675"/>
    <w:rsid w:val="00B50F18"/>
    <w:rsid w:val="00B55A64"/>
    <w:rsid w:val="00B626F3"/>
    <w:rsid w:val="00B6311B"/>
    <w:rsid w:val="00B665DE"/>
    <w:rsid w:val="00B66C89"/>
    <w:rsid w:val="00B73597"/>
    <w:rsid w:val="00B7586C"/>
    <w:rsid w:val="00B80027"/>
    <w:rsid w:val="00B80213"/>
    <w:rsid w:val="00B81CE9"/>
    <w:rsid w:val="00B86263"/>
    <w:rsid w:val="00B8698D"/>
    <w:rsid w:val="00B946CB"/>
    <w:rsid w:val="00BA6845"/>
    <w:rsid w:val="00BA711D"/>
    <w:rsid w:val="00BC206A"/>
    <w:rsid w:val="00BC2360"/>
    <w:rsid w:val="00BC4FD2"/>
    <w:rsid w:val="00BC676D"/>
    <w:rsid w:val="00BD0513"/>
    <w:rsid w:val="00BD3ED8"/>
    <w:rsid w:val="00BD6329"/>
    <w:rsid w:val="00BE1948"/>
    <w:rsid w:val="00BE72F6"/>
    <w:rsid w:val="00C04F4E"/>
    <w:rsid w:val="00C05818"/>
    <w:rsid w:val="00C26805"/>
    <w:rsid w:val="00C44A40"/>
    <w:rsid w:val="00C45380"/>
    <w:rsid w:val="00C52030"/>
    <w:rsid w:val="00C662CF"/>
    <w:rsid w:val="00C709EA"/>
    <w:rsid w:val="00C70FD2"/>
    <w:rsid w:val="00C75525"/>
    <w:rsid w:val="00C7689B"/>
    <w:rsid w:val="00C77C32"/>
    <w:rsid w:val="00C828C7"/>
    <w:rsid w:val="00C863BF"/>
    <w:rsid w:val="00C93CBC"/>
    <w:rsid w:val="00C96800"/>
    <w:rsid w:val="00C97657"/>
    <w:rsid w:val="00CA0BEF"/>
    <w:rsid w:val="00CA7B31"/>
    <w:rsid w:val="00CB4DFE"/>
    <w:rsid w:val="00CC315B"/>
    <w:rsid w:val="00CC32E7"/>
    <w:rsid w:val="00CC5253"/>
    <w:rsid w:val="00CD3F55"/>
    <w:rsid w:val="00CD6A2B"/>
    <w:rsid w:val="00CE4E5C"/>
    <w:rsid w:val="00CF70CD"/>
    <w:rsid w:val="00D005CE"/>
    <w:rsid w:val="00D00AA0"/>
    <w:rsid w:val="00D069E1"/>
    <w:rsid w:val="00D1512C"/>
    <w:rsid w:val="00D164FC"/>
    <w:rsid w:val="00D22513"/>
    <w:rsid w:val="00D261A8"/>
    <w:rsid w:val="00D32ACF"/>
    <w:rsid w:val="00D37341"/>
    <w:rsid w:val="00D43152"/>
    <w:rsid w:val="00D43C1A"/>
    <w:rsid w:val="00D55CC5"/>
    <w:rsid w:val="00D637CC"/>
    <w:rsid w:val="00D70F72"/>
    <w:rsid w:val="00D748E0"/>
    <w:rsid w:val="00D74B07"/>
    <w:rsid w:val="00D75602"/>
    <w:rsid w:val="00D77A87"/>
    <w:rsid w:val="00D77DCD"/>
    <w:rsid w:val="00D92F54"/>
    <w:rsid w:val="00D96BE4"/>
    <w:rsid w:val="00DA11D0"/>
    <w:rsid w:val="00DA2A80"/>
    <w:rsid w:val="00DA491B"/>
    <w:rsid w:val="00DB45DB"/>
    <w:rsid w:val="00DB54F0"/>
    <w:rsid w:val="00DC357A"/>
    <w:rsid w:val="00DC3C3A"/>
    <w:rsid w:val="00DD49B8"/>
    <w:rsid w:val="00DE25ED"/>
    <w:rsid w:val="00DE32AA"/>
    <w:rsid w:val="00DE4D98"/>
    <w:rsid w:val="00DE5734"/>
    <w:rsid w:val="00DF4840"/>
    <w:rsid w:val="00DF587E"/>
    <w:rsid w:val="00E01D62"/>
    <w:rsid w:val="00E20803"/>
    <w:rsid w:val="00E24D1B"/>
    <w:rsid w:val="00E24E3F"/>
    <w:rsid w:val="00E43D9D"/>
    <w:rsid w:val="00E43F7F"/>
    <w:rsid w:val="00E5050F"/>
    <w:rsid w:val="00E52876"/>
    <w:rsid w:val="00E5604E"/>
    <w:rsid w:val="00E6021F"/>
    <w:rsid w:val="00E72BD2"/>
    <w:rsid w:val="00E7687B"/>
    <w:rsid w:val="00E86050"/>
    <w:rsid w:val="00E90F4E"/>
    <w:rsid w:val="00E95D21"/>
    <w:rsid w:val="00EA2B6C"/>
    <w:rsid w:val="00EA37E8"/>
    <w:rsid w:val="00EA56CD"/>
    <w:rsid w:val="00EA69C0"/>
    <w:rsid w:val="00EA7670"/>
    <w:rsid w:val="00EB56F8"/>
    <w:rsid w:val="00EB6539"/>
    <w:rsid w:val="00EC1681"/>
    <w:rsid w:val="00EC4618"/>
    <w:rsid w:val="00EC58FF"/>
    <w:rsid w:val="00EC6012"/>
    <w:rsid w:val="00ED1BE7"/>
    <w:rsid w:val="00ED39DE"/>
    <w:rsid w:val="00ED509A"/>
    <w:rsid w:val="00ED55CA"/>
    <w:rsid w:val="00ED760A"/>
    <w:rsid w:val="00EE2761"/>
    <w:rsid w:val="00EE4B82"/>
    <w:rsid w:val="00EF06EA"/>
    <w:rsid w:val="00F03B03"/>
    <w:rsid w:val="00F04B57"/>
    <w:rsid w:val="00F060C1"/>
    <w:rsid w:val="00F15FEE"/>
    <w:rsid w:val="00F16A02"/>
    <w:rsid w:val="00F16CBE"/>
    <w:rsid w:val="00F178F6"/>
    <w:rsid w:val="00F211B7"/>
    <w:rsid w:val="00F24A35"/>
    <w:rsid w:val="00F251A3"/>
    <w:rsid w:val="00F27494"/>
    <w:rsid w:val="00F36E44"/>
    <w:rsid w:val="00F42935"/>
    <w:rsid w:val="00F46605"/>
    <w:rsid w:val="00F5370D"/>
    <w:rsid w:val="00F67A1D"/>
    <w:rsid w:val="00F74254"/>
    <w:rsid w:val="00F752F4"/>
    <w:rsid w:val="00F75CD8"/>
    <w:rsid w:val="00F8186A"/>
    <w:rsid w:val="00F8352B"/>
    <w:rsid w:val="00F85DD5"/>
    <w:rsid w:val="00FA0D87"/>
    <w:rsid w:val="00FA2747"/>
    <w:rsid w:val="00FA4658"/>
    <w:rsid w:val="00FA4B8C"/>
    <w:rsid w:val="00FB295B"/>
    <w:rsid w:val="00FC4B2D"/>
    <w:rsid w:val="00FC60C1"/>
    <w:rsid w:val="00FC665A"/>
    <w:rsid w:val="00FC74ED"/>
    <w:rsid w:val="00FD2834"/>
    <w:rsid w:val="00FD358A"/>
    <w:rsid w:val="00FD3668"/>
    <w:rsid w:val="00FD7F7E"/>
    <w:rsid w:val="00FE0694"/>
    <w:rsid w:val="00FE60C5"/>
    <w:rsid w:val="0F2F63F3"/>
    <w:rsid w:val="15D6885C"/>
    <w:rsid w:val="1CE1C938"/>
    <w:rsid w:val="3D72C1FC"/>
    <w:rsid w:val="58DE37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685A7"/>
  <w15:chartTrackingRefBased/>
  <w15:docId w15:val="{8CD536CE-4A90-4EFB-9F20-3CAC9AEE8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5762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7301"/>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927301"/>
  </w:style>
  <w:style w:type="paragraph" w:styleId="Piedepgina">
    <w:name w:val="footer"/>
    <w:basedOn w:val="Normal"/>
    <w:link w:val="PiedepginaCar"/>
    <w:uiPriority w:val="99"/>
    <w:unhideWhenUsed/>
    <w:rsid w:val="00927301"/>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927301"/>
  </w:style>
  <w:style w:type="paragraph" w:customStyle="1" w:styleId="IOPHeader">
    <w:name w:val="IOPHeader"/>
    <w:basedOn w:val="Encabezado"/>
    <w:link w:val="IOPHeaderChar"/>
    <w:qFormat/>
    <w:rsid w:val="00654D1E"/>
    <w:pPr>
      <w:pBdr>
        <w:bottom w:val="single" w:sz="4" w:space="1" w:color="auto"/>
      </w:pBdr>
    </w:pPr>
  </w:style>
  <w:style w:type="paragraph" w:customStyle="1" w:styleId="IOPTitle">
    <w:name w:val="IOPTitle"/>
    <w:basedOn w:val="Normal"/>
    <w:link w:val="IOPTitleChar"/>
    <w:qFormat/>
    <w:rsid w:val="00D43152"/>
    <w:pPr>
      <w:spacing w:after="520"/>
    </w:pPr>
    <w:rPr>
      <w:b/>
      <w:sz w:val="48"/>
      <w:szCs w:val="48"/>
    </w:rPr>
  </w:style>
  <w:style w:type="character" w:customStyle="1" w:styleId="IOPHeaderChar">
    <w:name w:val="IOPHeader Char"/>
    <w:basedOn w:val="EncabezadoCar"/>
    <w:link w:val="IOPHeader"/>
    <w:rsid w:val="00654D1E"/>
  </w:style>
  <w:style w:type="paragraph" w:customStyle="1" w:styleId="IOPAuthor">
    <w:name w:val="IOPAuthor"/>
    <w:basedOn w:val="Normal"/>
    <w:link w:val="IOPAuthorChar"/>
    <w:qFormat/>
    <w:rsid w:val="00D74B07"/>
    <w:pPr>
      <w:spacing w:after="200"/>
      <w:ind w:right="2552"/>
    </w:pPr>
    <w:rPr>
      <w:b/>
    </w:rPr>
  </w:style>
  <w:style w:type="character" w:customStyle="1" w:styleId="IOPTitleChar">
    <w:name w:val="IOPTitle Char"/>
    <w:basedOn w:val="Fuentedeprrafopredeter"/>
    <w:link w:val="IOPTitle"/>
    <w:rsid w:val="00D43152"/>
    <w:rPr>
      <w:b/>
      <w:sz w:val="48"/>
      <w:szCs w:val="48"/>
    </w:rPr>
  </w:style>
  <w:style w:type="paragraph" w:customStyle="1" w:styleId="IOPAff">
    <w:name w:val="IOPAff"/>
    <w:basedOn w:val="IOPAuthor"/>
    <w:link w:val="IOPAffChar"/>
    <w:qFormat/>
    <w:rsid w:val="00D74B07"/>
    <w:pPr>
      <w:spacing w:after="0"/>
    </w:pPr>
    <w:rPr>
      <w:rFonts w:ascii="Times New Roman" w:hAnsi="Times New Roman" w:cs="Times New Roman"/>
      <w:b w:val="0"/>
      <w:sz w:val="18"/>
      <w:szCs w:val="18"/>
    </w:rPr>
  </w:style>
  <w:style w:type="character" w:customStyle="1" w:styleId="IOPAuthorChar">
    <w:name w:val="IOPAuthor Char"/>
    <w:basedOn w:val="Fuentedeprrafopredeter"/>
    <w:link w:val="IOPAuthor"/>
    <w:rsid w:val="00D74B07"/>
    <w:rPr>
      <w:b/>
    </w:rPr>
  </w:style>
  <w:style w:type="paragraph" w:customStyle="1" w:styleId="IOPH1">
    <w:name w:val="IOPH1"/>
    <w:basedOn w:val="IOPAff"/>
    <w:link w:val="IOPH1Char"/>
    <w:qFormat/>
    <w:rsid w:val="0087550C"/>
    <w:pPr>
      <w:spacing w:before="200" w:after="120"/>
      <w:ind w:right="0"/>
    </w:pPr>
    <w:rPr>
      <w:rFonts w:asciiTheme="minorHAnsi" w:hAnsiTheme="minorHAnsi"/>
      <w:b/>
      <w:sz w:val="22"/>
    </w:rPr>
  </w:style>
  <w:style w:type="character" w:customStyle="1" w:styleId="IOPAffChar">
    <w:name w:val="IOPAff Char"/>
    <w:basedOn w:val="IOPAuthorChar"/>
    <w:link w:val="IOPAff"/>
    <w:rsid w:val="00D74B07"/>
    <w:rPr>
      <w:rFonts w:ascii="Times New Roman" w:hAnsi="Times New Roman" w:cs="Times New Roman"/>
      <w:b w:val="0"/>
      <w:sz w:val="18"/>
      <w:szCs w:val="18"/>
    </w:rPr>
  </w:style>
  <w:style w:type="paragraph" w:customStyle="1" w:styleId="IOPAbsText">
    <w:name w:val="IOPAbsText"/>
    <w:basedOn w:val="Normal"/>
    <w:link w:val="IOPAbsTextChar"/>
    <w:qFormat/>
    <w:rsid w:val="00D74B07"/>
    <w:pPr>
      <w:spacing w:after="0"/>
      <w:ind w:right="2552"/>
    </w:pPr>
    <w:rPr>
      <w:rFonts w:ascii="Times New Roman" w:hAnsi="Times New Roman"/>
      <w:sz w:val="20"/>
    </w:rPr>
  </w:style>
  <w:style w:type="character" w:customStyle="1" w:styleId="IOPH1Char">
    <w:name w:val="IOPH1 Char"/>
    <w:basedOn w:val="IOPAffChar"/>
    <w:link w:val="IOPH1"/>
    <w:rsid w:val="0087550C"/>
    <w:rPr>
      <w:rFonts w:ascii="Times New Roman" w:hAnsi="Times New Roman" w:cs="Times New Roman"/>
      <w:b/>
      <w:sz w:val="18"/>
      <w:szCs w:val="18"/>
    </w:rPr>
  </w:style>
  <w:style w:type="paragraph" w:customStyle="1" w:styleId="IOPKwd">
    <w:name w:val="IOPKwd"/>
    <w:basedOn w:val="IOPAbsText"/>
    <w:link w:val="IOPKwdChar"/>
    <w:qFormat/>
    <w:rsid w:val="005223F4"/>
    <w:pPr>
      <w:pBdr>
        <w:bottom w:val="single" w:sz="4" w:space="1" w:color="auto"/>
      </w:pBdr>
      <w:spacing w:before="240" w:after="240"/>
      <w:ind w:right="0"/>
    </w:pPr>
  </w:style>
  <w:style w:type="character" w:customStyle="1" w:styleId="IOPAbsTextChar">
    <w:name w:val="IOPAbsText Char"/>
    <w:basedOn w:val="Fuentedeprrafopredeter"/>
    <w:link w:val="IOPAbsText"/>
    <w:rsid w:val="00D74B07"/>
    <w:rPr>
      <w:rFonts w:ascii="Times New Roman" w:hAnsi="Times New Roman"/>
      <w:sz w:val="20"/>
    </w:rPr>
  </w:style>
  <w:style w:type="paragraph" w:customStyle="1" w:styleId="IOPText">
    <w:name w:val="IOPText"/>
    <w:basedOn w:val="IOPAbsText"/>
    <w:link w:val="IOPTextChar"/>
    <w:qFormat/>
    <w:rsid w:val="00A40AFB"/>
    <w:pPr>
      <w:ind w:right="0" w:firstLine="227"/>
      <w:jc w:val="both"/>
    </w:pPr>
  </w:style>
  <w:style w:type="character" w:customStyle="1" w:styleId="IOPKwdChar">
    <w:name w:val="IOPKwd Char"/>
    <w:basedOn w:val="IOPAbsTextChar"/>
    <w:link w:val="IOPKwd"/>
    <w:rsid w:val="005223F4"/>
    <w:rPr>
      <w:rFonts w:ascii="Times New Roman" w:hAnsi="Times New Roman"/>
      <w:sz w:val="20"/>
    </w:rPr>
  </w:style>
  <w:style w:type="character" w:customStyle="1" w:styleId="IOPTextChar">
    <w:name w:val="IOPText Char"/>
    <w:basedOn w:val="IOPAbsTextChar"/>
    <w:link w:val="IOPText"/>
    <w:rsid w:val="00A40AFB"/>
    <w:rPr>
      <w:rFonts w:ascii="Times New Roman" w:hAnsi="Times New Roman"/>
      <w:sz w:val="20"/>
    </w:rPr>
  </w:style>
  <w:style w:type="paragraph" w:customStyle="1" w:styleId="IOPH2">
    <w:name w:val="IOPH2"/>
    <w:basedOn w:val="IOPH1"/>
    <w:link w:val="IOPH2Char"/>
    <w:qFormat/>
    <w:rsid w:val="0087550C"/>
    <w:rPr>
      <w:b w:val="0"/>
      <w:i/>
    </w:rPr>
  </w:style>
  <w:style w:type="paragraph" w:customStyle="1" w:styleId="IOPH3">
    <w:name w:val="IOPH3"/>
    <w:basedOn w:val="IOPH2"/>
    <w:link w:val="IOPH3Char"/>
    <w:qFormat/>
    <w:rsid w:val="008D59E9"/>
    <w:pPr>
      <w:spacing w:after="0"/>
    </w:pPr>
  </w:style>
  <w:style w:type="character" w:customStyle="1" w:styleId="IOPH2Char">
    <w:name w:val="IOPH2 Char"/>
    <w:basedOn w:val="IOPH1Char"/>
    <w:link w:val="IOPH2"/>
    <w:rsid w:val="0087550C"/>
    <w:rPr>
      <w:rFonts w:ascii="Times New Roman" w:hAnsi="Times New Roman" w:cs="Times New Roman"/>
      <w:b w:val="0"/>
      <w:i/>
      <w:sz w:val="18"/>
      <w:szCs w:val="18"/>
    </w:rPr>
  </w:style>
  <w:style w:type="paragraph" w:customStyle="1" w:styleId="IOPrefs0">
    <w:name w:val="IOPrefs"/>
    <w:link w:val="IOPrefsChar"/>
    <w:rsid w:val="00E86050"/>
    <w:pPr>
      <w:spacing w:after="0"/>
      <w:ind w:left="284" w:hanging="284"/>
    </w:pPr>
    <w:rPr>
      <w:rFonts w:ascii="Times New Roman" w:hAnsi="Times New Roman"/>
      <w:noProof/>
      <w:sz w:val="18"/>
    </w:rPr>
  </w:style>
  <w:style w:type="character" w:customStyle="1" w:styleId="IOPH3Char">
    <w:name w:val="IOPH3 Char"/>
    <w:basedOn w:val="IOPH2Char"/>
    <w:link w:val="IOPH3"/>
    <w:rsid w:val="008D59E9"/>
    <w:rPr>
      <w:rFonts w:ascii="Times New Roman" w:hAnsi="Times New Roman" w:cs="Times New Roman"/>
      <w:b w:val="0"/>
      <w:i/>
      <w:sz w:val="18"/>
      <w:szCs w:val="18"/>
    </w:rPr>
  </w:style>
  <w:style w:type="paragraph" w:customStyle="1" w:styleId="IOPRefs">
    <w:name w:val="IOPRefs"/>
    <w:basedOn w:val="IOPrefs0"/>
    <w:link w:val="IOPRefsChar0"/>
    <w:qFormat/>
    <w:rsid w:val="00E86050"/>
    <w:pPr>
      <w:numPr>
        <w:numId w:val="2"/>
      </w:numPr>
    </w:pPr>
  </w:style>
  <w:style w:type="character" w:customStyle="1" w:styleId="IOPrefsChar">
    <w:name w:val="IOPrefs Char"/>
    <w:basedOn w:val="Fuentedeprrafopredeter"/>
    <w:link w:val="IOPrefs0"/>
    <w:rsid w:val="00E86050"/>
    <w:rPr>
      <w:rFonts w:ascii="Times New Roman" w:hAnsi="Times New Roman"/>
      <w:noProof/>
      <w:sz w:val="18"/>
    </w:rPr>
  </w:style>
  <w:style w:type="character" w:customStyle="1" w:styleId="IOPRefsChar0">
    <w:name w:val="IOPRefs Char"/>
    <w:basedOn w:val="IOPrefsChar"/>
    <w:link w:val="IOPRefs"/>
    <w:rsid w:val="00E86050"/>
    <w:rPr>
      <w:rFonts w:ascii="Times New Roman" w:hAnsi="Times New Roman"/>
      <w:noProof/>
      <w:sz w:val="18"/>
    </w:rPr>
  </w:style>
  <w:style w:type="character" w:styleId="Refdecomentario">
    <w:name w:val="annotation reference"/>
    <w:basedOn w:val="Fuentedeprrafopredeter"/>
    <w:uiPriority w:val="99"/>
    <w:semiHidden/>
    <w:unhideWhenUsed/>
    <w:rsid w:val="00DD49B8"/>
    <w:rPr>
      <w:sz w:val="16"/>
      <w:szCs w:val="16"/>
    </w:rPr>
  </w:style>
  <w:style w:type="paragraph" w:styleId="Textocomentario">
    <w:name w:val="annotation text"/>
    <w:basedOn w:val="Normal"/>
    <w:link w:val="TextocomentarioCar"/>
    <w:uiPriority w:val="99"/>
    <w:semiHidden/>
    <w:unhideWhenUsed/>
    <w:rsid w:val="00DD49B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D49B8"/>
    <w:rPr>
      <w:sz w:val="20"/>
      <w:szCs w:val="20"/>
    </w:rPr>
  </w:style>
  <w:style w:type="paragraph" w:styleId="Asuntodelcomentario">
    <w:name w:val="annotation subject"/>
    <w:basedOn w:val="Textocomentario"/>
    <w:next w:val="Textocomentario"/>
    <w:link w:val="AsuntodelcomentarioCar"/>
    <w:uiPriority w:val="99"/>
    <w:semiHidden/>
    <w:unhideWhenUsed/>
    <w:rsid w:val="00DD49B8"/>
    <w:rPr>
      <w:b/>
      <w:bCs/>
    </w:rPr>
  </w:style>
  <w:style w:type="character" w:customStyle="1" w:styleId="AsuntodelcomentarioCar">
    <w:name w:val="Asunto del comentario Car"/>
    <w:basedOn w:val="TextocomentarioCar"/>
    <w:link w:val="Asuntodelcomentario"/>
    <w:uiPriority w:val="99"/>
    <w:semiHidden/>
    <w:rsid w:val="00DD49B8"/>
    <w:rPr>
      <w:b/>
      <w:bCs/>
      <w:sz w:val="20"/>
      <w:szCs w:val="20"/>
    </w:rPr>
  </w:style>
  <w:style w:type="paragraph" w:styleId="Textodeglobo">
    <w:name w:val="Balloon Text"/>
    <w:basedOn w:val="Normal"/>
    <w:link w:val="TextodegloboCar"/>
    <w:uiPriority w:val="99"/>
    <w:semiHidden/>
    <w:unhideWhenUsed/>
    <w:rsid w:val="00DD49B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49B8"/>
    <w:rPr>
      <w:rFonts w:ascii="Segoe UI" w:hAnsi="Segoe UI" w:cs="Segoe UI"/>
      <w:sz w:val="18"/>
      <w:szCs w:val="18"/>
    </w:rPr>
  </w:style>
  <w:style w:type="character" w:styleId="nfasis">
    <w:name w:val="Emphasis"/>
    <w:basedOn w:val="Fuentedeprrafopredeter"/>
    <w:uiPriority w:val="20"/>
    <w:qFormat/>
    <w:rsid w:val="00DD49B8"/>
    <w:rPr>
      <w:i/>
      <w:iCs/>
    </w:rPr>
  </w:style>
  <w:style w:type="character" w:styleId="Hipervnculo">
    <w:name w:val="Hyperlink"/>
    <w:basedOn w:val="Fuentedeprrafopredeter"/>
    <w:uiPriority w:val="99"/>
    <w:unhideWhenUsed/>
    <w:rsid w:val="005567A2"/>
    <w:rPr>
      <w:color w:val="0563C1" w:themeColor="hyperlink"/>
      <w:u w:val="single"/>
    </w:rPr>
  </w:style>
  <w:style w:type="character" w:styleId="Mencinsinresolver">
    <w:name w:val="Unresolved Mention"/>
    <w:basedOn w:val="Fuentedeprrafopredeter"/>
    <w:uiPriority w:val="99"/>
    <w:semiHidden/>
    <w:unhideWhenUsed/>
    <w:rsid w:val="005567A2"/>
    <w:rPr>
      <w:color w:val="605E5C"/>
      <w:shd w:val="clear" w:color="auto" w:fill="E1DFDD"/>
    </w:rPr>
  </w:style>
  <w:style w:type="paragraph" w:styleId="Revisin">
    <w:name w:val="Revision"/>
    <w:hidden/>
    <w:uiPriority w:val="99"/>
    <w:semiHidden/>
    <w:rsid w:val="00197D90"/>
    <w:pPr>
      <w:spacing w:after="0" w:line="240" w:lineRule="auto"/>
    </w:pPr>
  </w:style>
  <w:style w:type="paragraph" w:styleId="Prrafodelista">
    <w:name w:val="List Paragraph"/>
    <w:basedOn w:val="Normal"/>
    <w:uiPriority w:val="34"/>
    <w:qFormat/>
    <w:rsid w:val="001320D1"/>
    <w:pPr>
      <w:ind w:left="720"/>
      <w:contextualSpacing/>
    </w:pPr>
    <w:rPr>
      <w:lang w:val="en-US"/>
    </w:rPr>
  </w:style>
  <w:style w:type="paragraph" w:styleId="NormalWeb">
    <w:name w:val="Normal (Web)"/>
    <w:basedOn w:val="Normal"/>
    <w:uiPriority w:val="99"/>
    <w:unhideWhenUsed/>
    <w:rsid w:val="0003346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notaalfinal">
    <w:name w:val="endnote text"/>
    <w:basedOn w:val="Normal"/>
    <w:link w:val="TextonotaalfinalCar"/>
    <w:uiPriority w:val="99"/>
    <w:unhideWhenUsed/>
    <w:rsid w:val="0003346E"/>
    <w:pPr>
      <w:spacing w:after="0" w:line="240" w:lineRule="auto"/>
    </w:pPr>
    <w:rPr>
      <w:rFonts w:eastAsiaTheme="minorEastAsia"/>
      <w:sz w:val="20"/>
      <w:szCs w:val="20"/>
      <w:lang w:val="es-ES"/>
    </w:rPr>
  </w:style>
  <w:style w:type="character" w:customStyle="1" w:styleId="TextonotaalfinalCar">
    <w:name w:val="Texto nota al final Car"/>
    <w:basedOn w:val="Fuentedeprrafopredeter"/>
    <w:link w:val="Textonotaalfinal"/>
    <w:uiPriority w:val="99"/>
    <w:rsid w:val="0003346E"/>
    <w:rPr>
      <w:rFonts w:eastAsiaTheme="minorEastAsia"/>
      <w:sz w:val="20"/>
      <w:szCs w:val="20"/>
      <w:lang w:val="es-ES"/>
    </w:rPr>
  </w:style>
  <w:style w:type="table" w:customStyle="1" w:styleId="Tablaconcuadrcula1">
    <w:name w:val="Tabla con cuadrícula1"/>
    <w:basedOn w:val="Tablanormal"/>
    <w:next w:val="Tablaconcuadrcula"/>
    <w:uiPriority w:val="59"/>
    <w:rsid w:val="00B80213"/>
    <w:pPr>
      <w:spacing w:after="0" w:line="240" w:lineRule="auto"/>
    </w:pPr>
    <w:rPr>
      <w:rFonts w:eastAsia="DengXian"/>
      <w:kern w:val="2"/>
      <w:sz w:val="24"/>
      <w:szCs w:val="24"/>
      <w:lang w:val="es-MX" w:eastAsia="zh-CN"/>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39"/>
    <w:rsid w:val="00B802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4942942">
      <w:bodyDiv w:val="1"/>
      <w:marLeft w:val="0"/>
      <w:marRight w:val="0"/>
      <w:marTop w:val="0"/>
      <w:marBottom w:val="0"/>
      <w:divBdr>
        <w:top w:val="none" w:sz="0" w:space="0" w:color="auto"/>
        <w:left w:val="none" w:sz="0" w:space="0" w:color="auto"/>
        <w:bottom w:val="none" w:sz="0" w:space="0" w:color="auto"/>
        <w:right w:val="none" w:sz="0" w:space="0" w:color="auto"/>
      </w:divBdr>
      <w:divsChild>
        <w:div w:id="461533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https://epidemiologia.salud.gob.mx/gobmx/salud/documentos/manuales/36_Manual_ETV.pdf"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gob.mx/cms/uploads/attachment/file/943421/Pano_dengue_36.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g\Downloads\IOPP-WordTemplateLa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25DE5F59C9C7741A43E8507115C29AE" ma:contentTypeVersion="12" ma:contentTypeDescription="Create a new document." ma:contentTypeScope="" ma:versionID="3838c50bec871210a30f92b9619016c7">
  <xsd:schema xmlns:xsd="http://www.w3.org/2001/XMLSchema" xmlns:xs="http://www.w3.org/2001/XMLSchema" xmlns:p="http://schemas.microsoft.com/office/2006/metadata/properties" xmlns:ns3="f4f3ac1a-f0b0-4edf-95f0-ae0107ebb4d2" xmlns:ns4="9e668b08-18f6-43af-b7d7-f2a4e2ec4622" targetNamespace="http://schemas.microsoft.com/office/2006/metadata/properties" ma:root="true" ma:fieldsID="e773a95bfaa2e4f6c9568ca59858b9d9" ns3:_="" ns4:_="">
    <xsd:import namespace="f4f3ac1a-f0b0-4edf-95f0-ae0107ebb4d2"/>
    <xsd:import namespace="9e668b08-18f6-43af-b7d7-f2a4e2ec462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3ac1a-f0b0-4edf-95f0-ae0107ebb4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668b08-18f6-43af-b7d7-f2a4e2ec46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75DEC5-7F4C-4BE6-BEAE-100FCCC9700C}">
  <ds:schemaRefs>
    <ds:schemaRef ds:uri="http://schemas.openxmlformats.org/officeDocument/2006/bibliography"/>
  </ds:schemaRefs>
</ds:datastoreItem>
</file>

<file path=customXml/itemProps2.xml><?xml version="1.0" encoding="utf-8"?>
<ds:datastoreItem xmlns:ds="http://schemas.openxmlformats.org/officeDocument/2006/customXml" ds:itemID="{E1C354BB-8E5B-48B7-AA63-28DC19CBF3A7}">
  <ds:schemaRefs>
    <ds:schemaRef ds:uri="http://schemas.microsoft.com/sharepoint/v3/contenttype/forms"/>
  </ds:schemaRefs>
</ds:datastoreItem>
</file>

<file path=customXml/itemProps3.xml><?xml version="1.0" encoding="utf-8"?>
<ds:datastoreItem xmlns:ds="http://schemas.openxmlformats.org/officeDocument/2006/customXml" ds:itemID="{5DAED8C6-5575-432B-8FC9-59F986DA7F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99B9C18-FFC5-4734-B16A-69D1070D9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3ac1a-f0b0-4edf-95f0-ae0107ebb4d2"/>
    <ds:schemaRef ds:uri="9e668b08-18f6-43af-b7d7-f2a4e2ec46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IOPP-WordTemplateLarge</Template>
  <TotalTime>87</TotalTime>
  <Pages>4</Pages>
  <Words>1459</Words>
  <Characters>8025</Characters>
  <Application>Microsoft Office Word</Application>
  <DocSecurity>0</DocSecurity>
  <Lines>66</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9466</CharactersWithSpaces>
  <SharedDoc>false</SharedDoc>
  <HLinks>
    <vt:vector size="78" baseType="variant">
      <vt:variant>
        <vt:i4>6029398</vt:i4>
      </vt:variant>
      <vt:variant>
        <vt:i4>36</vt:i4>
      </vt:variant>
      <vt:variant>
        <vt:i4>0</vt:i4>
      </vt:variant>
      <vt:variant>
        <vt:i4>5</vt:i4>
      </vt:variant>
      <vt:variant>
        <vt:lpwstr>https://doi.org/10.1016/j.bmhimx.2017.02.003</vt:lpwstr>
      </vt:variant>
      <vt:variant>
        <vt:lpwstr/>
      </vt:variant>
      <vt:variant>
        <vt:i4>3473454</vt:i4>
      </vt:variant>
      <vt:variant>
        <vt:i4>33</vt:i4>
      </vt:variant>
      <vt:variant>
        <vt:i4>0</vt:i4>
      </vt:variant>
      <vt:variant>
        <vt:i4>5</vt:i4>
      </vt:variant>
      <vt:variant>
        <vt:lpwstr>https://doi.org/10.1590/S0325-00752010000500006</vt:lpwstr>
      </vt:variant>
      <vt:variant>
        <vt:lpwstr/>
      </vt:variant>
      <vt:variant>
        <vt:i4>3932200</vt:i4>
      </vt:variant>
      <vt:variant>
        <vt:i4>30</vt:i4>
      </vt:variant>
      <vt:variant>
        <vt:i4>0</vt:i4>
      </vt:variant>
      <vt:variant>
        <vt:i4>5</vt:i4>
      </vt:variant>
      <vt:variant>
        <vt:lpwstr>https://doi.org/10.4067/S0034-98872014000900009</vt:lpwstr>
      </vt:variant>
      <vt:variant>
        <vt:lpwstr/>
      </vt:variant>
      <vt:variant>
        <vt:i4>3997731</vt:i4>
      </vt:variant>
      <vt:variant>
        <vt:i4>27</vt:i4>
      </vt:variant>
      <vt:variant>
        <vt:i4>0</vt:i4>
      </vt:variant>
      <vt:variant>
        <vt:i4>5</vt:i4>
      </vt:variant>
      <vt:variant>
        <vt:lpwstr>https://doi.org/10.1590/s1020-49892008001100001</vt:lpwstr>
      </vt:variant>
      <vt:variant>
        <vt:lpwstr/>
      </vt:variant>
      <vt:variant>
        <vt:i4>5701642</vt:i4>
      </vt:variant>
      <vt:variant>
        <vt:i4>24</vt:i4>
      </vt:variant>
      <vt:variant>
        <vt:i4>0</vt:i4>
      </vt:variant>
      <vt:variant>
        <vt:i4>5</vt:i4>
      </vt:variant>
      <vt:variant>
        <vt:lpwstr>https://revistas.isciii.es/revistas.jsp?id=ECEMC</vt:lpwstr>
      </vt:variant>
      <vt:variant>
        <vt:lpwstr/>
      </vt:variant>
      <vt:variant>
        <vt:i4>3080233</vt:i4>
      </vt:variant>
      <vt:variant>
        <vt:i4>21</vt:i4>
      </vt:variant>
      <vt:variant>
        <vt:i4>0</vt:i4>
      </vt:variant>
      <vt:variant>
        <vt:i4>5</vt:i4>
      </vt:variant>
      <vt:variant>
        <vt:lpwstr>https://www.elsevier.es/es-revista-offarm-4-articulo-acido-folico-13071463</vt:lpwstr>
      </vt:variant>
      <vt:variant>
        <vt:lpwstr/>
      </vt:variant>
      <vt:variant>
        <vt:i4>262222</vt:i4>
      </vt:variant>
      <vt:variant>
        <vt:i4>18</vt:i4>
      </vt:variant>
      <vt:variant>
        <vt:i4>0</vt:i4>
      </vt:variant>
      <vt:variant>
        <vt:i4>5</vt:i4>
      </vt:variant>
      <vt:variant>
        <vt:lpwstr>https://www.paho.org/hq/dmdocuments/2009/Prevencion-de-defectos-tubo-neural-con-acido-folico.pdf</vt:lpwstr>
      </vt:variant>
      <vt:variant>
        <vt:lpwstr/>
      </vt:variant>
      <vt:variant>
        <vt:i4>4784229</vt:i4>
      </vt:variant>
      <vt:variant>
        <vt:i4>15</vt:i4>
      </vt:variant>
      <vt:variant>
        <vt:i4>0</vt:i4>
      </vt:variant>
      <vt:variant>
        <vt:i4>5</vt:i4>
      </vt:variant>
      <vt:variant>
        <vt:lpwstr>https://iris.paho.org/bitstream/handle/10665.2/54204/boletinmalformaciones_spa.pdf?sequence=1&amp;isAllowed=y</vt:lpwstr>
      </vt:variant>
      <vt:variant>
        <vt:lpwstr/>
      </vt:variant>
      <vt:variant>
        <vt:i4>4784197</vt:i4>
      </vt:variant>
      <vt:variant>
        <vt:i4>12</vt:i4>
      </vt:variant>
      <vt:variant>
        <vt:i4>0</vt:i4>
      </vt:variant>
      <vt:variant>
        <vt:i4>5</vt:i4>
      </vt:variant>
      <vt:variant>
        <vt:lpwstr>https://apps.who.int/iris/rest/bitstreams/797356/retrieve</vt:lpwstr>
      </vt:variant>
      <vt:variant>
        <vt:lpwstr/>
      </vt:variant>
      <vt:variant>
        <vt:i4>1048605</vt:i4>
      </vt:variant>
      <vt:variant>
        <vt:i4>9</vt:i4>
      </vt:variant>
      <vt:variant>
        <vt:i4>0</vt:i4>
      </vt:variant>
      <vt:variant>
        <vt:i4>5</vt:i4>
      </vt:variant>
      <vt:variant>
        <vt:lpwstr>https://www.researchgate.net/publication/257106440_Guia_de_Practica_Clinica_Deteccion_de_Anomalias_Congenitas_en_el_Recien_Nacido</vt:lpwstr>
      </vt:variant>
      <vt:variant>
        <vt:lpwstr/>
      </vt:variant>
      <vt:variant>
        <vt:i4>3801135</vt:i4>
      </vt:variant>
      <vt:variant>
        <vt:i4>6</vt:i4>
      </vt:variant>
      <vt:variant>
        <vt:i4>0</vt:i4>
      </vt:variant>
      <vt:variant>
        <vt:i4>5</vt:i4>
      </vt:variant>
      <vt:variant>
        <vt:lpwstr>https://doi.org/10.1590/S0325-00752009000300007</vt:lpwstr>
      </vt:variant>
      <vt:variant>
        <vt:lpwstr/>
      </vt:variant>
      <vt:variant>
        <vt:i4>6422624</vt:i4>
      </vt:variant>
      <vt:variant>
        <vt:i4>3</vt:i4>
      </vt:variant>
      <vt:variant>
        <vt:i4>0</vt:i4>
      </vt:variant>
      <vt:variant>
        <vt:i4>5</vt:i4>
      </vt:variant>
      <vt:variant>
        <vt:lpwstr>http://www.who.int/mediacentre/factsheets/fs370/es/</vt:lpwstr>
      </vt:variant>
      <vt:variant>
        <vt:lpwstr/>
      </vt:variant>
      <vt:variant>
        <vt:i4>1703984</vt:i4>
      </vt:variant>
      <vt:variant>
        <vt:i4>0</vt:i4>
      </vt:variant>
      <vt:variant>
        <vt:i4>0</vt:i4>
      </vt:variant>
      <vt:variant>
        <vt:i4>5</vt:i4>
      </vt:variant>
      <vt:variant>
        <vt:lpwstr>mailto:xcastro@outlook.es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ioppublishing@ioppublishing.org</dc:creator>
  <cp:keywords/>
  <dc:description/>
  <cp:lastModifiedBy>Victor Cardenas</cp:lastModifiedBy>
  <cp:revision>59</cp:revision>
  <cp:lastPrinted>2024-10-15T18:37:00Z</cp:lastPrinted>
  <dcterms:created xsi:type="dcterms:W3CDTF">2024-10-15T17:07:00Z</dcterms:created>
  <dcterms:modified xsi:type="dcterms:W3CDTF">2024-10-15T19:36:00Z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0x010100125DE5F59C9C7741A43E8507115C29AE</vt:lpwstr>
  </property>
</Properties>
</file>